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75504E" w:rsidRDefault="00C90BA5" w:rsidP="00827EBA">
      <w:pPr>
        <w:shd w:val="clear" w:color="auto" w:fill="FFF2CC" w:themeFill="accent4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000000"/>
          <w:sz w:val="32"/>
          <w:szCs w:val="32"/>
          <w:lang w:val="cy-GB"/>
        </w:rPr>
        <w:t>Manyleb y swydd a’r person</w:t>
      </w:r>
    </w:p>
    <w:p w14:paraId="2E0A9D2A" w14:textId="77777777" w:rsidR="009C5541" w:rsidRPr="00C260D8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89408C" w14:paraId="45917001" w14:textId="77777777" w:rsidTr="7F9CAFA9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1C7DFF53" w:rsidR="009C5541" w:rsidRPr="00C260D8" w:rsidRDefault="00C90BA5" w:rsidP="7F9CAFA9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Cydlynydd Swyddfa</w:t>
            </w:r>
          </w:p>
        </w:tc>
      </w:tr>
      <w:tr w:rsidR="0089408C" w14:paraId="49B35B3B" w14:textId="77777777" w:rsidTr="7F9CAFA9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7E72E547" w:rsidR="009C5541" w:rsidRPr="00C260D8" w:rsidRDefault="00C90BA5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MBS-034-26</w:t>
            </w:r>
          </w:p>
        </w:tc>
      </w:tr>
      <w:tr w:rsidR="0089408C" w14:paraId="4DA94DC6" w14:textId="77777777" w:rsidTr="7F9CAFA9">
        <w:tc>
          <w:tcPr>
            <w:tcW w:w="2190" w:type="dxa"/>
            <w:shd w:val="clear" w:color="auto" w:fill="00637C"/>
          </w:tcPr>
          <w:p w14:paraId="00BFBD94" w14:textId="77777777" w:rsidR="009C5541" w:rsidRPr="004210EE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3B3A70CB" w:rsidR="009C5541" w:rsidRPr="00C260D8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Benjamin Hodge Mckenna </w:t>
            </w:r>
          </w:p>
        </w:tc>
      </w:tr>
      <w:tr w:rsidR="0089408C" w14:paraId="0F5C3E74" w14:textId="77777777" w:rsidTr="7F9CAFA9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cyflog:</w:t>
            </w:r>
          </w:p>
        </w:tc>
        <w:tc>
          <w:tcPr>
            <w:tcW w:w="6825" w:type="dxa"/>
          </w:tcPr>
          <w:p w14:paraId="3215F4C7" w14:textId="06EAA0E5" w:rsidR="009C5541" w:rsidRPr="00C260D8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2</w:t>
            </w:r>
          </w:p>
        </w:tc>
      </w:tr>
      <w:tr w:rsidR="0089408C" w14:paraId="3B816E90" w14:textId="77777777" w:rsidTr="7F9CAFA9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cyflog:</w:t>
            </w:r>
          </w:p>
          <w:p w14:paraId="56ECF35F" w14:textId="77777777" w:rsidR="009C5541" w:rsidRPr="004210EE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(pro rata)</w:t>
            </w:r>
          </w:p>
        </w:tc>
        <w:tc>
          <w:tcPr>
            <w:tcW w:w="6825" w:type="dxa"/>
          </w:tcPr>
          <w:p w14:paraId="3308FB1D" w14:textId="2A2E937A" w:rsidR="00304EF9" w:rsidRDefault="00C90BA5" w:rsidP="004F68A5">
            <w:pPr>
              <w:spacing w:before="120" w:after="120"/>
              <w:rPr>
                <w:rFonts w:ascii="Segoe UI" w:eastAsia="Lucida Sans" w:hAnsi="Segoe UI" w:cs="Segoe UI"/>
                <w:b/>
                <w:bCs/>
                <w:sz w:val="22"/>
                <w:szCs w:val="22"/>
                <w:lang w:val="cy-GB" w:bidi="cy-GB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 w:bidi="cy-GB"/>
              </w:rPr>
              <w:t>£33,233 – £42,727</w:t>
            </w:r>
          </w:p>
          <w:p w14:paraId="77E8DD5F" w14:textId="4708AE06" w:rsidR="009C5541" w:rsidRPr="00C260D8" w:rsidRDefault="00C90BA5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89408C" w14:paraId="5B70D573" w14:textId="77777777" w:rsidTr="7F9CAFA9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57A7D74F" w14:textId="3F1ECB70" w:rsidR="009C5541" w:rsidRPr="00C260D8" w:rsidRDefault="00C90BA5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37 awr yr wythnos</w:t>
            </w: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 xml:space="preserve"> </w:t>
            </w:r>
          </w:p>
          <w:p w14:paraId="69CF9415" w14:textId="1FF8551B" w:rsidR="009C5541" w:rsidRPr="00C260D8" w:rsidRDefault="00C90BA5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yn ofynnol i ddeiliad y swydd weithio y tu allan i’r oriau gwaith arferol.</w:t>
            </w:r>
          </w:p>
        </w:tc>
      </w:tr>
      <w:tr w:rsidR="0089408C" w14:paraId="0B89FD9D" w14:textId="77777777" w:rsidTr="7F9CAFA9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77750C2A" w:rsidR="009C5541" w:rsidRPr="00C260D8" w:rsidRDefault="003D1D3C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Cyfnod</w:t>
            </w:r>
            <w:r w:rsidRPr="003D1D3C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 xml:space="preserve"> Penodol am 6 mis, gyda'r posibilrwydd o gael ei wneud yn barhaol</w:t>
            </w:r>
          </w:p>
        </w:tc>
      </w:tr>
      <w:tr w:rsidR="0089408C" w14:paraId="4973C409" w14:textId="77777777" w:rsidTr="7F9CAFA9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5DE8726B" w14:textId="222331B7" w:rsidR="009C5541" w:rsidRDefault="00C90BA5" w:rsidP="725B7323">
            <w:pPr>
              <w:spacing w:before="120" w:after="120"/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color w:val="000000"/>
                <w:sz w:val="22"/>
                <w:szCs w:val="22"/>
                <w:lang w:val="cy-GB"/>
              </w:rPr>
              <w:t>Swyddfeydd y Senedd – Bae Caerdydd</w:t>
            </w:r>
          </w:p>
          <w:p w14:paraId="489CDD1A" w14:textId="0BCE1123" w:rsidR="0070735F" w:rsidRPr="00C260D8" w:rsidRDefault="00C90BA5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color w:val="000000"/>
                <w:sz w:val="22"/>
                <w:szCs w:val="22"/>
                <w:lang w:val="cy-GB"/>
              </w:rPr>
              <w:t>Swyddfa Etholaethol – Port Talbot</w:t>
            </w:r>
          </w:p>
          <w:p w14:paraId="07BBC4A6" w14:textId="66CDC117" w:rsidR="009C5541" w:rsidRPr="00C260D8" w:rsidRDefault="00C90BA5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89408C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89408C" w14:paraId="161CA5AC" w14:textId="77777777" w:rsidTr="725B7323">
        <w:tc>
          <w:tcPr>
            <w:tcW w:w="9016" w:type="dxa"/>
          </w:tcPr>
          <w:p w14:paraId="5C7BD80F" w14:textId="1BEC2CE2" w:rsidR="00923358" w:rsidRPr="004F68A5" w:rsidRDefault="00C90BA5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Mae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Rheoli Busnes a Gweinyddiaeth Band 2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Aelod o'r Senedd (Aelod)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yn ymgymryd ag amrywiaeth eang o waith sy'n berthnasol i redeg swyddfa'r Aelod, a gwaith yr Aelod o ddydd i ddydd, yn esmwyth.  Gall gwaith o'r fath gynnwys cyllid, rheoli dyddiaduron, cadw cofnodion neu waith sy'n gysylltiedig â phobl.</w:t>
            </w:r>
          </w:p>
        </w:tc>
      </w:tr>
    </w:tbl>
    <w:p w14:paraId="78EB7B38" w14:textId="77777777" w:rsidR="00923358" w:rsidRDefault="00923358" w:rsidP="0019385C">
      <w:pPr>
        <w:rPr>
          <w:rFonts w:ascii="Segoe UI" w:hAnsi="Segoe UI" w:cs="Segoe UI"/>
          <w:sz w:val="22"/>
          <w:szCs w:val="22"/>
        </w:rPr>
      </w:pPr>
    </w:p>
    <w:p w14:paraId="20234AEC" w14:textId="77777777" w:rsidR="008B24B0" w:rsidRDefault="008B24B0" w:rsidP="0019385C">
      <w:pPr>
        <w:rPr>
          <w:rFonts w:ascii="Segoe UI" w:hAnsi="Segoe UI" w:cs="Segoe UI"/>
          <w:sz w:val="22"/>
          <w:szCs w:val="22"/>
        </w:rPr>
      </w:pPr>
    </w:p>
    <w:p w14:paraId="22281996" w14:textId="77777777" w:rsidR="008B24B0" w:rsidRDefault="008B24B0" w:rsidP="0019385C">
      <w:pPr>
        <w:rPr>
          <w:rFonts w:ascii="Segoe UI" w:hAnsi="Segoe UI" w:cs="Segoe UI"/>
          <w:sz w:val="22"/>
          <w:szCs w:val="22"/>
        </w:rPr>
      </w:pPr>
    </w:p>
    <w:p w14:paraId="45BFB16D" w14:textId="77777777" w:rsidR="008B24B0" w:rsidRDefault="008B24B0" w:rsidP="0019385C">
      <w:pPr>
        <w:rPr>
          <w:rFonts w:ascii="Segoe UI" w:hAnsi="Segoe UI" w:cs="Segoe UI"/>
          <w:sz w:val="22"/>
          <w:szCs w:val="22"/>
        </w:rPr>
      </w:pPr>
    </w:p>
    <w:p w14:paraId="20C1334B" w14:textId="77777777" w:rsidR="008B24B0" w:rsidRDefault="008B24B0" w:rsidP="0019385C">
      <w:pPr>
        <w:rPr>
          <w:rFonts w:ascii="Segoe UI" w:hAnsi="Segoe UI" w:cs="Segoe UI"/>
          <w:sz w:val="22"/>
          <w:szCs w:val="22"/>
        </w:rPr>
      </w:pPr>
    </w:p>
    <w:p w14:paraId="6C05D582" w14:textId="77777777" w:rsidR="008B24B0" w:rsidRPr="00C260D8" w:rsidRDefault="008B24B0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89408C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C90BA5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89408C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C260D8" w:rsidRDefault="00C90BA5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141572D1" w:rsidR="0019385C" w:rsidRPr="005126FD" w:rsidRDefault="00C90BA5" w:rsidP="005126FD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89408C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C90BA5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89408C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C90BA5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Er gwybodaeth, bydd y penodiad yn amodol ar eirdaon a gwiriad diogelwch.</w:t>
            </w: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5B883B4E" w:rsidR="004210EE" w:rsidRPr="004210EE" w:rsidRDefault="00C90BA5" w:rsidP="005D264A">
      <w:pPr>
        <w:shd w:val="clear" w:color="auto" w:fill="FFF2CC" w:themeFill="accent4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 Rheoli Busnes a Gweinyddiaeth</w:t>
      </w:r>
    </w:p>
    <w:p w14:paraId="0A1DFD2E" w14:textId="15EACC92" w:rsidR="008C627F" w:rsidRPr="00EF5D6E" w:rsidRDefault="00C90BA5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deiliaid swyddi Rheoli Busnes a Gweinyddiaeth yn gyfrifol am ddarparu cymorth rheoli, cymorth arbenigol a chymorth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</w:r>
    </w:p>
    <w:p w14:paraId="3B869498" w14:textId="66F346F7" w:rsidR="008C627F" w:rsidRPr="004210EE" w:rsidRDefault="00C90BA5" w:rsidP="00EF5D6E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Mae’r prif nodweddion fel a ganlyn:</w:t>
      </w:r>
    </w:p>
    <w:p w14:paraId="34FF5E9D" w14:textId="77777777" w:rsidR="008C627F" w:rsidRPr="00EF5D6E" w:rsidRDefault="00C90BA5" w:rsidP="00FF7343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Datblygu a chynnal perthnasoedd sy'n cefnogi rhwydweithiau mewnol ac allanol</w:t>
      </w:r>
    </w:p>
    <w:p w14:paraId="43DD8D3E" w14:textId="77777777" w:rsidR="008C627F" w:rsidRPr="00EF5D6E" w:rsidRDefault="00C90BA5" w:rsidP="00FF7343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Cynrychioli'r maes gwaith mewn cyfarfodydd</w:t>
      </w:r>
    </w:p>
    <w:p w14:paraId="2580660E" w14:textId="77777777" w:rsidR="008C627F" w:rsidRPr="00EF5D6E" w:rsidRDefault="00C90BA5" w:rsidP="00FF7343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Cydgysylltu llif gwaith a chanlyniadau tîm bach sy'n cyflawni tasgau cysylltiedig</w:t>
      </w:r>
    </w:p>
    <w:p w14:paraId="49D7FB74" w14:textId="77777777" w:rsidR="008C627F" w:rsidRPr="00EF5D6E" w:rsidRDefault="00C90BA5" w:rsidP="00FF7343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Ymgymryd â gwaith ymchwil a dadansoddi mewn perthynas â gweithgarwch yr Aelodau neu’r swyddfa</w:t>
      </w:r>
    </w:p>
    <w:p w14:paraId="7DD67F35" w14:textId="77777777" w:rsidR="008C627F" w:rsidRPr="00EF5D6E" w:rsidRDefault="00C90BA5" w:rsidP="00FF7343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Mae graddau uwch yn debygol o gyfrannu at bennu cyfeiriad blaenoriaethau ac arferion gwaith, monitro llif gwaith a nodi anghenion hyfforddi ar gyfer lefelau is</w:t>
      </w:r>
    </w:p>
    <w:p w14:paraId="28DB0DF0" w14:textId="77777777" w:rsidR="008C627F" w:rsidRPr="00EF5D6E" w:rsidRDefault="00C90BA5" w:rsidP="00FF7343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Cynorthwyo gyda’r broses o reoli swyddogaethau corfforaethol, gan gynnwys adnoddau dynol, eiddo, iechyd a diogelwch a diogelu data  </w:t>
      </w:r>
    </w:p>
    <w:p w14:paraId="76B2896D" w14:textId="77777777" w:rsidR="008C627F" w:rsidRPr="00EF5D6E" w:rsidRDefault="00C90BA5" w:rsidP="00FF7343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Paratoi gohebiaeth ac adroddiadau, gan gynnwys negeseuon e-bost a llythyrau ar faterion arferol a materion mwy cymhleth</w:t>
      </w:r>
    </w:p>
    <w:p w14:paraId="3A4F0140" w14:textId="77777777" w:rsidR="008C627F" w:rsidRPr="00EF5D6E" w:rsidRDefault="00C90BA5" w:rsidP="00FF7343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Darparu neu oruchwylio gwasanaethau rheoli’r adeilad</w:t>
      </w:r>
    </w:p>
    <w:p w14:paraId="03EFC866" w14:textId="77777777" w:rsidR="008C627F" w:rsidRPr="00EF5D6E" w:rsidRDefault="00C90BA5" w:rsidP="00FF7343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Cynorthwyo gyda’r broses o reoli a gweinyddu contractau</w:t>
      </w:r>
    </w:p>
    <w:p w14:paraId="675AE4B3" w14:textId="47E3F88B" w:rsidR="00C260D8" w:rsidRPr="00741B43" w:rsidRDefault="00C90BA5" w:rsidP="00FF7343">
      <w:pPr>
        <w:pStyle w:val="ListParagraph"/>
        <w:widowControl/>
        <w:numPr>
          <w:ilvl w:val="0"/>
          <w:numId w:val="2"/>
        </w:numPr>
        <w:tabs>
          <w:tab w:val="left" w:pos="5162"/>
        </w:tabs>
        <w:autoSpaceDE/>
        <w:autoSpaceDN/>
        <w:spacing w:before="120" w:after="120" w:line="259" w:lineRule="auto"/>
        <w:rPr>
          <w:rFonts w:ascii="Segoe UI" w:hAnsi="Segoe UI" w:cs="Segoe UI"/>
        </w:rPr>
        <w:sectPr w:rsidR="00C260D8" w:rsidRPr="00741B43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  <w:r>
        <w:rPr>
          <w:rFonts w:ascii="Segoe UI" w:eastAsia="Segoe UI" w:hAnsi="Segoe UI" w:cs="Segoe UI"/>
          <w:lang w:val="cy-GB"/>
        </w:rPr>
        <w:t>Cynorthwyo a chefnogi prosesau staffio.</w:t>
      </w:r>
    </w:p>
    <w:p w14:paraId="7C4A7357" w14:textId="7C059DE8" w:rsidR="008C627F" w:rsidRPr="00F56188" w:rsidRDefault="00C90BA5" w:rsidP="00F56188">
      <w:pPr>
        <w:shd w:val="clear" w:color="auto" w:fill="FFF2CC" w:themeFill="accent4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89408C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D7592C" w:rsidRDefault="00C90BA5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89408C" w14:paraId="5EB49988" w14:textId="77777777" w:rsidTr="00D7592C">
        <w:tc>
          <w:tcPr>
            <w:tcW w:w="9015" w:type="dxa"/>
          </w:tcPr>
          <w:p w14:paraId="57D205B6" w14:textId="77777777" w:rsidR="00E416D4" w:rsidRPr="005A3B82" w:rsidRDefault="00C90BA5" w:rsidP="00FF7343">
            <w:pPr>
              <w:pStyle w:val="ListParagraph"/>
              <w:widowControl/>
              <w:numPr>
                <w:ilvl w:val="0"/>
                <w:numId w:val="3"/>
              </w:numPr>
              <w:spacing w:before="120" w:after="120" w:line="259" w:lineRule="auto"/>
              <w:ind w:right="544"/>
              <w:rPr>
                <w:rStyle w:val="normaltextrun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Hyfedredd o ran defnyddio’r offer a'r cyfarpar ar gyfer y swydd – er enghraifft, pecynnau meddalwedd safonol – a phrofiad o ddefnyddio cyfryngau ar-lein mewn cyd-destun gwaith.</w:t>
            </w:r>
          </w:p>
          <w:p w14:paraId="2F320603" w14:textId="77777777" w:rsidR="00E416D4" w:rsidRPr="005A3B82" w:rsidRDefault="00C90BA5" w:rsidP="00FF7343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Sgiliau cyfathrebu llafar ac ysgrifenedig aeddfed iawn.</w:t>
            </w:r>
          </w:p>
          <w:p w14:paraId="2D1D7456" w14:textId="77777777" w:rsidR="00E416D4" w:rsidRPr="005A3B82" w:rsidRDefault="00C90BA5" w:rsidP="00FF7343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o'r angen i frwydro yn erbyn gwahaniaethu ac i hyrwyddo cyfle cyfartal ac Egwyddorion Nolan ar gyfer Bywyd Cyhoeddus, ac ymrwymiad i'r materion hyn.</w:t>
            </w:r>
          </w:p>
          <w:p w14:paraId="11BEC5BD" w14:textId="3E460615" w:rsidR="00D7592C" w:rsidRDefault="00D7592C" w:rsidP="008D1BCD">
            <w:pPr>
              <w:pStyle w:val="ListParagraph"/>
              <w:spacing w:before="120" w:after="120" w:line="259" w:lineRule="auto"/>
              <w:ind w:left="720" w:firstLine="0"/>
              <w:rPr>
                <w:rFonts w:ascii="Segoe UI" w:hAnsi="Segoe UI" w:cs="Segoe UI"/>
                <w:b/>
                <w:bCs/>
              </w:rPr>
            </w:pPr>
          </w:p>
        </w:tc>
      </w:tr>
      <w:tr w:rsidR="0089408C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10080A" w:rsidRDefault="00C90BA5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89408C" w14:paraId="4AC93902" w14:textId="77777777" w:rsidTr="00D7592C">
        <w:tc>
          <w:tcPr>
            <w:tcW w:w="9015" w:type="dxa"/>
          </w:tcPr>
          <w:p w14:paraId="5620FBF5" w14:textId="3B224B02" w:rsidR="007531DC" w:rsidRPr="00721199" w:rsidRDefault="00C90BA5" w:rsidP="00FF7343">
            <w:pPr>
              <w:pStyle w:val="ListParagraph"/>
              <w:numPr>
                <w:ilvl w:val="0"/>
                <w:numId w:val="5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Profiad o weithio mewn timau, gyda'r gallu i gydlynu staff, interniaid a gwirfoddolwyr yn effeithiol.</w:t>
            </w:r>
          </w:p>
          <w:p w14:paraId="79358640" w14:textId="77777777" w:rsidR="006E25B5" w:rsidRPr="006E25B5" w:rsidRDefault="00C90BA5" w:rsidP="00FF7343">
            <w:pPr>
              <w:pStyle w:val="ListParagraph"/>
              <w:numPr>
                <w:ilvl w:val="0"/>
                <w:numId w:val="10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 data / diogelwch gwybodaeth</w:t>
            </w:r>
          </w:p>
          <w:p w14:paraId="02C00A45" w14:textId="7B7938B8" w:rsidR="00954864" w:rsidRPr="006E25B5" w:rsidRDefault="00C90BA5" w:rsidP="00FF7343">
            <w:pPr>
              <w:pStyle w:val="ListParagraph"/>
              <w:numPr>
                <w:ilvl w:val="0"/>
                <w:numId w:val="1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5FDBD272" w14:textId="77777777" w:rsidR="006E25B5" w:rsidRPr="006E25B5" w:rsidRDefault="00C90BA5" w:rsidP="00FF7343">
            <w:pPr>
              <w:pStyle w:val="ListParagraph"/>
              <w:numPr>
                <w:ilvl w:val="0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Iechyd, diogelwch a llesiant</w:t>
            </w:r>
          </w:p>
          <w:p w14:paraId="254E6018" w14:textId="0034718D" w:rsidR="00D7592C" w:rsidRPr="00901BC9" w:rsidRDefault="00C90BA5" w:rsidP="00901BC9">
            <w:pPr>
              <w:pStyle w:val="ListParagraph"/>
              <w:numPr>
                <w:ilvl w:val="1"/>
                <w:numId w:val="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</w:tc>
      </w:tr>
      <w:tr w:rsidR="0089408C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D7592C" w:rsidRDefault="00C90BA5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89408C" w14:paraId="66BC2988" w14:textId="77777777" w:rsidTr="00D7592C">
        <w:tc>
          <w:tcPr>
            <w:tcW w:w="9015" w:type="dxa"/>
          </w:tcPr>
          <w:p w14:paraId="0889C276" w14:textId="77777777" w:rsidR="002A4A59" w:rsidRPr="005A3B82" w:rsidRDefault="00C90BA5" w:rsidP="00C73BE3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27F5D680" w14:textId="77777777" w:rsidR="002A4A59" w:rsidRPr="00544EB1" w:rsidRDefault="00C90BA5" w:rsidP="00C73BE3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</w:rPr>
            </w:pPr>
            <w:r>
              <w:rPr>
                <w:rStyle w:val="normaltextrun"/>
                <w:rFonts w:ascii="Segoe UI" w:eastAsia="Segoe UI" w:hAnsi="Segoe UI" w:cs="Segoe UI"/>
                <w:lang w:val="cy-GB"/>
              </w:rPr>
              <w:t>Yn arddel amcanion a gwerthoedd y blaid.</w:t>
            </w:r>
          </w:p>
          <w:p w14:paraId="315919D4" w14:textId="525C10D8" w:rsidR="00544EB1" w:rsidRDefault="00C90BA5" w:rsidP="00C73BE3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</w:p>
          <w:p w14:paraId="764F8009" w14:textId="7EE74DBD" w:rsidR="00C73BE3" w:rsidRPr="00C73BE3" w:rsidRDefault="00C90BA5" w:rsidP="00C73BE3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Dealltwriaeth gref o'r gyfraith a’r fframweithiau rheoleiddio y mae’r Aelodau a’r Grwpiau yn gweithredu o’u mewn. Mae hyn yn cynnwys fframweithiau’r Senedd (safonau ymddygiad a gwariant) yn ogystal â fframweithiau ehangach a chyffredinol. Y gallu i roi cyngor gwybodus i’r Aelodau a chydweithwyr.</w:t>
            </w:r>
          </w:p>
          <w:p w14:paraId="587A4BD6" w14:textId="3B93C9E8" w:rsidR="00D7592C" w:rsidRPr="008D1BCD" w:rsidRDefault="00D7592C" w:rsidP="002A4A59">
            <w:pPr>
              <w:spacing w:before="120" w:after="120" w:line="259" w:lineRule="auto"/>
              <w:rPr>
                <w:rStyle w:val="eop"/>
                <w:rFonts w:ascii="Segoe UI" w:hAnsi="Segoe UI" w:cs="Segoe UI"/>
                <w:sz w:val="22"/>
                <w:szCs w:val="22"/>
              </w:rPr>
            </w:pPr>
          </w:p>
        </w:tc>
      </w:tr>
      <w:tr w:rsidR="0089408C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10080A" w:rsidRDefault="00C90BA5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89408C" w14:paraId="6D275C64" w14:textId="77777777" w:rsidTr="00D7592C">
        <w:tc>
          <w:tcPr>
            <w:tcW w:w="9015" w:type="dxa"/>
          </w:tcPr>
          <w:p w14:paraId="467EB018" w14:textId="77777777" w:rsidR="00375FCA" w:rsidRPr="005A3B82" w:rsidRDefault="00C90BA5" w:rsidP="00FF7343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Cymhwyster proffesiynol neu academaidd priodol neu brofiad cyfatebol.</w:t>
            </w:r>
          </w:p>
          <w:p w14:paraId="67BD886B" w14:textId="30AEBD47" w:rsidR="00D7592C" w:rsidRPr="00D7592C" w:rsidRDefault="00D7592C" w:rsidP="002A4A59">
            <w:pPr>
              <w:pStyle w:val="ListParagraph"/>
              <w:spacing w:before="120" w:after="120" w:line="259" w:lineRule="auto"/>
              <w:ind w:left="720" w:firstLine="0"/>
              <w:rPr>
                <w:rFonts w:ascii="Segoe UI" w:hAnsi="Segoe UI" w:cs="Segoe UI"/>
              </w:rPr>
            </w:pPr>
          </w:p>
        </w:tc>
      </w:tr>
      <w:tr w:rsidR="0089408C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9C1C83" w:rsidRDefault="00C90BA5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89408C" w14:paraId="2E3DA19A" w14:textId="77777777" w:rsidTr="00D7592C">
        <w:tc>
          <w:tcPr>
            <w:tcW w:w="9015" w:type="dxa"/>
          </w:tcPr>
          <w:p w14:paraId="38F51BF0" w14:textId="5ED9DFA3" w:rsidR="009C1C83" w:rsidRPr="00E03E0E" w:rsidRDefault="00C90BA5" w:rsidP="009C1C83">
            <w:pPr>
              <w:pStyle w:val="ListParagraph"/>
              <w:numPr>
                <w:ilvl w:val="0"/>
                <w:numId w:val="1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Nid yw sgiliau Cymraeg yn hanfodol ar gyfer y swydd hon, ond maent yn ddymunol.</w:t>
            </w:r>
          </w:p>
        </w:tc>
      </w:tr>
    </w:tbl>
    <w:p w14:paraId="039FB68A" w14:textId="77777777" w:rsidR="00A822E7" w:rsidRDefault="00A822E7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3B6E88C4" w14:textId="77777777" w:rsidR="008A1745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A8D4ED8" w14:textId="77777777" w:rsidR="008A1745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5011216" w14:textId="77777777" w:rsidR="008A1745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0A2B6E8" w14:textId="77777777" w:rsidR="008A1745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6B54B084" w14:textId="77777777" w:rsidR="008A1745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6B5C736B" w14:textId="77777777" w:rsidR="008A1745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186494CB" w14:textId="77777777" w:rsidR="008A1745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37F14CB6" w14:textId="77777777" w:rsidR="008A1745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322EE057" w14:textId="77777777" w:rsidR="008A1745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6E7651CC" w14:textId="77777777" w:rsidR="008A1745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40C6016" w14:textId="77777777" w:rsidR="008A1745" w:rsidRDefault="008A1745" w:rsidP="00A822E7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5B5BC32B" w14:textId="44886396" w:rsidR="7F9CAFA9" w:rsidRDefault="7F9CAFA9" w:rsidP="7F9CAFA9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19E34328" w14:textId="3F739391" w:rsidR="7F9CAFA9" w:rsidRDefault="7F9CAFA9" w:rsidP="7F9CAFA9">
      <w:pPr>
        <w:widowControl w:val="0"/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850FCCD" w14:textId="3A12F076" w:rsidR="00224C87" w:rsidRPr="00EF5D6E" w:rsidRDefault="00C90BA5" w:rsidP="008A1745">
      <w:pPr>
        <w:widowControl w:val="0"/>
        <w:shd w:val="clear" w:color="auto" w:fill="FFF2CC" w:themeFill="accent4" w:themeFillTint="33"/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lastRenderedPageBreak/>
        <w:t>Prif ddyletswyddau</w:t>
      </w:r>
    </w:p>
    <w:p w14:paraId="48E16A10" w14:textId="50D63A8C" w:rsidR="6E34CBFA" w:rsidRPr="00A531E1" w:rsidRDefault="00C90BA5" w:rsidP="00A531E1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</w:t>
      </w:r>
      <w:r w:rsidR="00322D01">
        <w:rPr>
          <w:rFonts w:ascii="Segoe UI" w:eastAsia="Segoe UI" w:hAnsi="Segoe UI" w:cs="Segoe UI"/>
          <w:color w:val="000000"/>
          <w:sz w:val="22"/>
          <w:szCs w:val="22"/>
          <w:lang w:val="cy-GB"/>
        </w:rPr>
        <w:t>’r</w:t>
      </w: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 xml:space="preserve"> pwyntiau'n nodi meysydd arferol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89408C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7C5B613E" w:rsidR="00106CA7" w:rsidRDefault="00C90BA5" w:rsidP="725B732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 Swyddfa a Rheoli Staff</w:t>
            </w:r>
          </w:p>
        </w:tc>
      </w:tr>
      <w:tr w:rsidR="0089408C" w14:paraId="47691320" w14:textId="77777777" w:rsidTr="00106CA7">
        <w:tc>
          <w:tcPr>
            <w:tcW w:w="9015" w:type="dxa"/>
          </w:tcPr>
          <w:p w14:paraId="177F98CD" w14:textId="77777777" w:rsidR="00817C9D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Cynnal gweithrediadau dyddiol swyddfa'r Aelod.</w:t>
            </w:r>
          </w:p>
          <w:p w14:paraId="234BAF8D" w14:textId="77777777" w:rsidR="00817C9D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Goruchwylio gwaith staff iau ac interniaid.</w:t>
            </w:r>
          </w:p>
          <w:p w14:paraId="53B681D7" w14:textId="77777777" w:rsidR="00817C9D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Sicrhau cydymffurfiaeth â rheolau a rheoliadau ariannol y Senedd.</w:t>
            </w:r>
          </w:p>
          <w:p w14:paraId="280AA9C2" w14:textId="77777777" w:rsidR="00817C9D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Amrywiaeth o weithgareddau gweinyddol gan gynnwys rheoli cofnodion yn effeithiol a gweithgareddau sy'n gysylltiedig ag archwilio.</w:t>
            </w:r>
          </w:p>
          <w:p w14:paraId="1BE2785F" w14:textId="41CE3BD7" w:rsidR="00B47C59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Cynorthwyo gyda gwaith achos Seneddol ac Etholaethol, yn dibynnu ar y gofynion o ran llwyth gwaith.</w:t>
            </w:r>
          </w:p>
          <w:p w14:paraId="3E80EC0C" w14:textId="77777777" w:rsidR="00817C9D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Sicrhau bod adnoddau’r swyddfa yn cael eu defnyddio'n effeithiol.</w:t>
            </w:r>
          </w:p>
          <w:p w14:paraId="704A4916" w14:textId="77777777" w:rsidR="00817C9D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Sicrhau bod amgylchedd gwaith diogel yn cael ei gynnal.  Cynorthwyo’r broses o ddarparu gwasanaethau rheoli adeiladau. Asesu dyfynbrisiau cystadleuol/tendrau ar gyfer gwaith, a nodi'r opsiynau mwyaf addas.</w:t>
            </w:r>
          </w:p>
          <w:p w14:paraId="4F164806" w14:textId="77777777" w:rsidR="00817C9D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Sicrhau cydymffurfiaeth â pholisïau a chanllawiau moesegol y Senedd.</w:t>
            </w:r>
          </w:p>
          <w:p w14:paraId="1948A3B0" w14:textId="77777777" w:rsidR="00817C9D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Ymgymryd â thasgau neu weithgareddau syml i sicrhau ansawdd; gwirio cywirdeb gwybodaeth a gwaith.</w:t>
            </w:r>
          </w:p>
          <w:p w14:paraId="7C7D8CCD" w14:textId="77777777" w:rsidR="00817C9D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Cynllunio a rheoli eu llwyth gwaith eu hunain a llwythi gwaith eraill, yn unol â gofynion yr Aelod.</w:t>
            </w:r>
          </w:p>
          <w:p w14:paraId="77E6E98A" w14:textId="77777777" w:rsidR="00817C9D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Gwneud penderfyniadau pan nad oes fawr ddim cyngor, canllawiau na chynseiliau ar gael, neu pan nad oes cyngor, canllawiau na chynseiliau o gwbl ar gael, yn unol â dymuniadau’r Aelod.</w:t>
            </w:r>
          </w:p>
          <w:p w14:paraId="69FB39A5" w14:textId="77777777" w:rsidR="00106CA7" w:rsidRDefault="00C90BA5" w:rsidP="00FF7343">
            <w:pPr>
              <w:pStyle w:val="ListParagraph"/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Cyflawni dyletswyddau eraill sy'n gymesur â'r band hwn, yn ôl yr angen, i gefnogi'r Aelod.</w:t>
            </w:r>
          </w:p>
          <w:p w14:paraId="1D249F8D" w14:textId="77777777" w:rsidR="008A1745" w:rsidRDefault="008A1745" w:rsidP="008A1745">
            <w:pPr>
              <w:spacing w:before="120" w:after="120" w:line="259" w:lineRule="auto"/>
              <w:rPr>
                <w:rFonts w:ascii="Segoe UI" w:hAnsi="Segoe UI" w:cs="Segoe UI"/>
              </w:rPr>
            </w:pPr>
          </w:p>
          <w:p w14:paraId="0CBC29C6" w14:textId="77777777" w:rsidR="008A1745" w:rsidRDefault="008A1745" w:rsidP="008A1745">
            <w:pPr>
              <w:spacing w:before="120" w:after="120" w:line="259" w:lineRule="auto"/>
              <w:rPr>
                <w:rFonts w:ascii="Segoe UI" w:hAnsi="Segoe UI" w:cs="Segoe UI"/>
              </w:rPr>
            </w:pPr>
          </w:p>
          <w:p w14:paraId="6BC032C8" w14:textId="4DACC3F8" w:rsidR="008A1745" w:rsidRPr="008A1745" w:rsidRDefault="008A1745" w:rsidP="008A1745">
            <w:pPr>
              <w:spacing w:before="120" w:after="120" w:line="259" w:lineRule="auto"/>
              <w:rPr>
                <w:rFonts w:ascii="Segoe UI" w:hAnsi="Segoe UI" w:cs="Segoe UI"/>
              </w:rPr>
            </w:pPr>
          </w:p>
        </w:tc>
      </w:tr>
      <w:tr w:rsidR="0089408C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73B929B" w:rsidR="00106CA7" w:rsidRPr="00106CA7" w:rsidRDefault="00C90BA5" w:rsidP="725B7323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Rhwymedigaethau yn y gweithle</w:t>
            </w:r>
          </w:p>
        </w:tc>
      </w:tr>
      <w:tr w:rsidR="0089408C" w14:paraId="3E78B434" w14:textId="77777777" w:rsidTr="00106CA7">
        <w:tc>
          <w:tcPr>
            <w:tcW w:w="9015" w:type="dxa"/>
          </w:tcPr>
          <w:p w14:paraId="21D04923" w14:textId="77777777" w:rsidR="008A1745" w:rsidRPr="000817C5" w:rsidRDefault="00C90BA5" w:rsidP="00FF7343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Diogelu data / diogelwch gwybodaeth</w:t>
            </w:r>
          </w:p>
          <w:p w14:paraId="4F964D55" w14:textId="1923BF56" w:rsidR="00817C9D" w:rsidRPr="000817C5" w:rsidRDefault="00C90BA5" w:rsidP="00FF7343">
            <w:pPr>
              <w:pStyle w:val="ListParagraph"/>
              <w:numPr>
                <w:ilvl w:val="1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Cydlynu gweithgareddau a darparu canllawiau i alluogi’r Aelod i gydymffurfio â rhwymedigaethau sy'n ymwneud â diogelu data a diogelwch gwybodaeth, yn unol â deddfwriaeth a chodau ymarfer perthnasol.</w:t>
            </w:r>
          </w:p>
          <w:p w14:paraId="09B61F58" w14:textId="77777777" w:rsidR="008A1745" w:rsidRPr="000817C5" w:rsidRDefault="00C90BA5" w:rsidP="00FF7343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Iechyd, diogelwch a llesiant</w:t>
            </w:r>
          </w:p>
          <w:p w14:paraId="7EEC9C69" w14:textId="3EC36A4A" w:rsidR="00B350FE" w:rsidRPr="000817C5" w:rsidRDefault="00C90BA5" w:rsidP="00FF7343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Sicrhau bod systemau ac arferion effeithiol ar waith i alluogi’r Aelod i gydymffurfio â rhwymedigaethau sy'n ymwneud ag iechyd, diogelwch a llesiant, yn unol â deddfwriaeth a chodau ymarfer perthnasol.</w:t>
            </w:r>
          </w:p>
          <w:p w14:paraId="5C80D39A" w14:textId="77777777" w:rsidR="00BA7C53" w:rsidRDefault="00C90BA5" w:rsidP="00BA7C53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Diogelu</w:t>
            </w:r>
          </w:p>
          <w:p w14:paraId="53780585" w14:textId="64DF104A" w:rsidR="00106CA7" w:rsidRPr="00322D01" w:rsidRDefault="00C90BA5" w:rsidP="00322D01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322D01">
              <w:rPr>
                <w:rFonts w:ascii="Segoe UI" w:eastAsia="Segoe UI" w:hAnsi="Segoe UI" w:cs="Segoe UI"/>
                <w:color w:val="000000"/>
                <w:lang w:val="cy-GB"/>
              </w:rPr>
              <w:t>Rheoli’r prosesau a’r trefniadau sy’n galluogi’r Aelod i gydymffurfio â rhwymedigaethau sy'n ymwneud â diogelu plant ac oedolion agored i niwed, yn unol â deddfwriaeth a chodau ymarfer perthnasol.</w:t>
            </w:r>
          </w:p>
        </w:tc>
      </w:tr>
      <w:tr w:rsidR="0089408C" w14:paraId="58553672" w14:textId="77777777" w:rsidTr="00106CA7">
        <w:tc>
          <w:tcPr>
            <w:tcW w:w="9015" w:type="dxa"/>
          </w:tcPr>
          <w:p w14:paraId="25DE32F2" w14:textId="77777777" w:rsidR="00BA7C53" w:rsidRPr="00BA7C53" w:rsidRDefault="00BA7C53" w:rsidP="00BA7C5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9408C" w14:paraId="7EDB7A4F" w14:textId="77777777" w:rsidTr="00106CA7">
        <w:tc>
          <w:tcPr>
            <w:tcW w:w="9015" w:type="dxa"/>
          </w:tcPr>
          <w:p w14:paraId="798BAF92" w14:textId="77777777" w:rsidR="00BA7C53" w:rsidRPr="00BA7C53" w:rsidRDefault="00BA7C53" w:rsidP="00BA7C53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</w:tbl>
    <w:p w14:paraId="5E17287D" w14:textId="77777777" w:rsidR="00106CA7" w:rsidRDefault="00106CA7" w:rsidP="725B7323">
      <w:pPr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  <w:bookmarkStart w:id="0" w:name="cysill"/>
      <w:bookmarkEnd w:id="0"/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E7C8" w14:textId="77777777" w:rsidR="00396570" w:rsidRDefault="00396570">
      <w:r>
        <w:separator/>
      </w:r>
    </w:p>
  </w:endnote>
  <w:endnote w:type="continuationSeparator" w:id="0">
    <w:p w14:paraId="7CE782B1" w14:textId="77777777" w:rsidR="00396570" w:rsidRDefault="0039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C90BA5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CEFA" w14:textId="77777777" w:rsidR="00396570" w:rsidRDefault="00396570">
      <w:r>
        <w:separator/>
      </w:r>
    </w:p>
  </w:footnote>
  <w:footnote w:type="continuationSeparator" w:id="0">
    <w:p w14:paraId="71FC05B0" w14:textId="77777777" w:rsidR="00396570" w:rsidRDefault="0039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1A161B37" w:rsidR="006D4095" w:rsidRPr="007A108A" w:rsidRDefault="00C90BA5" w:rsidP="00EB06C3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02C068B1" w:rsidR="725B7323" w:rsidRPr="009C4A99" w:rsidRDefault="00C90BA5" w:rsidP="009C4A99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09EC" w14:textId="77777777" w:rsidR="006172EC" w:rsidRPr="009C4A99" w:rsidRDefault="00C90BA5" w:rsidP="006172EC">
    <w:pPr>
      <w:pStyle w:val="Header"/>
      <w:shd w:val="clear" w:color="auto" w:fill="FFF2CC" w:themeFill="accent4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Rheoli Busnes a Gweinyddiaeth: Band 2</w:t>
    </w:r>
  </w:p>
  <w:p w14:paraId="335AEDF1" w14:textId="533F3F92" w:rsidR="725B7323" w:rsidRDefault="725B7323" w:rsidP="725B7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57F3"/>
    <w:multiLevelType w:val="hybridMultilevel"/>
    <w:tmpl w:val="92263EEA"/>
    <w:lvl w:ilvl="0" w:tplc="274E6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E3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6F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AC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8CA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0B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04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0E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B44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8044F"/>
    <w:multiLevelType w:val="hybridMultilevel"/>
    <w:tmpl w:val="3DA45120"/>
    <w:lvl w:ilvl="0" w:tplc="3B4E6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A0C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E5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C8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C8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41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20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4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24E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7364"/>
    <w:multiLevelType w:val="hybridMultilevel"/>
    <w:tmpl w:val="18C22F94"/>
    <w:lvl w:ilvl="0" w:tplc="A5BEE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A9C21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B6C5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0A23D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9087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CE32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5C30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76CD3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3B65C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448CA"/>
    <w:multiLevelType w:val="hybridMultilevel"/>
    <w:tmpl w:val="E6F6EBE4"/>
    <w:lvl w:ilvl="0" w:tplc="D234A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4B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E4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6F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26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6D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47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26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4A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A0A5F"/>
    <w:multiLevelType w:val="hybridMultilevel"/>
    <w:tmpl w:val="FD5C5724"/>
    <w:lvl w:ilvl="0" w:tplc="58401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4E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63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81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CD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CE6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AA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6B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67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C37A"/>
    <w:multiLevelType w:val="hybridMultilevel"/>
    <w:tmpl w:val="4CDCE5FA"/>
    <w:lvl w:ilvl="0" w:tplc="40D21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2567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FC2A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24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0A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05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E5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2F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5104C"/>
    <w:multiLevelType w:val="hybridMultilevel"/>
    <w:tmpl w:val="DCFEBB20"/>
    <w:lvl w:ilvl="0" w:tplc="449C7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0E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0D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86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63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C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89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AB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0E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A206E"/>
    <w:multiLevelType w:val="hybridMultilevel"/>
    <w:tmpl w:val="98FEE39E"/>
    <w:lvl w:ilvl="0" w:tplc="FCFCEAA8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F2D20456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8FEE44EA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5BA680B0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7A8E0EC8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513E3608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7C64D3A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FDE6F328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C7F21A50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5BDC445A"/>
    <w:multiLevelType w:val="hybridMultilevel"/>
    <w:tmpl w:val="03A40C6C"/>
    <w:lvl w:ilvl="0" w:tplc="101A3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CC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27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8B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E1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0CA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88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CE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2F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F6470"/>
    <w:multiLevelType w:val="hybridMultilevel"/>
    <w:tmpl w:val="D6007E36"/>
    <w:lvl w:ilvl="0" w:tplc="508CA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AC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74B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81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E9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46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E0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44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E8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076B0"/>
    <w:multiLevelType w:val="hybridMultilevel"/>
    <w:tmpl w:val="5B680DB4"/>
    <w:lvl w:ilvl="0" w:tplc="F3A47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6F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4C5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EF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7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E64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2A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98E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5"/>
  </w:num>
  <w:num w:numId="2" w16cid:durableId="302125360">
    <w:abstractNumId w:val="1"/>
  </w:num>
  <w:num w:numId="3" w16cid:durableId="1234461860">
    <w:abstractNumId w:val="3"/>
  </w:num>
  <w:num w:numId="4" w16cid:durableId="88356848">
    <w:abstractNumId w:val="6"/>
  </w:num>
  <w:num w:numId="5" w16cid:durableId="804933010">
    <w:abstractNumId w:val="0"/>
  </w:num>
  <w:num w:numId="6" w16cid:durableId="1624383735">
    <w:abstractNumId w:val="9"/>
  </w:num>
  <w:num w:numId="7" w16cid:durableId="567881219">
    <w:abstractNumId w:val="10"/>
  </w:num>
  <w:num w:numId="8" w16cid:durableId="2052728823">
    <w:abstractNumId w:val="8"/>
  </w:num>
  <w:num w:numId="9" w16cid:durableId="1503665340">
    <w:abstractNumId w:val="2"/>
  </w:num>
  <w:num w:numId="10" w16cid:durableId="678314749">
    <w:abstractNumId w:val="4"/>
  </w:num>
  <w:num w:numId="11" w16cid:durableId="189793180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2A89"/>
    <w:rsid w:val="000164C4"/>
    <w:rsid w:val="00035479"/>
    <w:rsid w:val="00045A8B"/>
    <w:rsid w:val="000575A9"/>
    <w:rsid w:val="000612F6"/>
    <w:rsid w:val="00081475"/>
    <w:rsid w:val="000817C5"/>
    <w:rsid w:val="00081D12"/>
    <w:rsid w:val="000868FD"/>
    <w:rsid w:val="000874E7"/>
    <w:rsid w:val="00090AC9"/>
    <w:rsid w:val="000A499A"/>
    <w:rsid w:val="000A5B03"/>
    <w:rsid w:val="000A696A"/>
    <w:rsid w:val="000C32C8"/>
    <w:rsid w:val="000F1E65"/>
    <w:rsid w:val="0010080A"/>
    <w:rsid w:val="00106CA7"/>
    <w:rsid w:val="0010761F"/>
    <w:rsid w:val="001111ED"/>
    <w:rsid w:val="00131D40"/>
    <w:rsid w:val="0013525D"/>
    <w:rsid w:val="00155E3D"/>
    <w:rsid w:val="00173F24"/>
    <w:rsid w:val="0017524A"/>
    <w:rsid w:val="001870AC"/>
    <w:rsid w:val="0019385C"/>
    <w:rsid w:val="001938DE"/>
    <w:rsid w:val="00197A2C"/>
    <w:rsid w:val="001A0666"/>
    <w:rsid w:val="001C32E0"/>
    <w:rsid w:val="001C6EA2"/>
    <w:rsid w:val="001D0730"/>
    <w:rsid w:val="001D14C4"/>
    <w:rsid w:val="001D263C"/>
    <w:rsid w:val="001E6E9E"/>
    <w:rsid w:val="001F01AE"/>
    <w:rsid w:val="001F29DE"/>
    <w:rsid w:val="001F5ABF"/>
    <w:rsid w:val="001F6C90"/>
    <w:rsid w:val="00205AF2"/>
    <w:rsid w:val="00207903"/>
    <w:rsid w:val="00224C87"/>
    <w:rsid w:val="00231040"/>
    <w:rsid w:val="00232262"/>
    <w:rsid w:val="00244A91"/>
    <w:rsid w:val="00247124"/>
    <w:rsid w:val="00250F74"/>
    <w:rsid w:val="00257207"/>
    <w:rsid w:val="00260A2C"/>
    <w:rsid w:val="00260A49"/>
    <w:rsid w:val="00263555"/>
    <w:rsid w:val="00270948"/>
    <w:rsid w:val="002736B3"/>
    <w:rsid w:val="00297C41"/>
    <w:rsid w:val="002A4A59"/>
    <w:rsid w:val="002B05E5"/>
    <w:rsid w:val="002B1276"/>
    <w:rsid w:val="002B149F"/>
    <w:rsid w:val="002B5712"/>
    <w:rsid w:val="002B72B6"/>
    <w:rsid w:val="002B7CFE"/>
    <w:rsid w:val="002C0126"/>
    <w:rsid w:val="002D0813"/>
    <w:rsid w:val="002D62D1"/>
    <w:rsid w:val="002F1DAE"/>
    <w:rsid w:val="002F73F9"/>
    <w:rsid w:val="00303066"/>
    <w:rsid w:val="00303637"/>
    <w:rsid w:val="00303C19"/>
    <w:rsid w:val="00304EF9"/>
    <w:rsid w:val="00306341"/>
    <w:rsid w:val="00315FBB"/>
    <w:rsid w:val="00322D01"/>
    <w:rsid w:val="00334BC9"/>
    <w:rsid w:val="0035773A"/>
    <w:rsid w:val="00375FCA"/>
    <w:rsid w:val="00380544"/>
    <w:rsid w:val="00381473"/>
    <w:rsid w:val="00385D77"/>
    <w:rsid w:val="0039313B"/>
    <w:rsid w:val="00396570"/>
    <w:rsid w:val="003B0B45"/>
    <w:rsid w:val="003C4531"/>
    <w:rsid w:val="003C4754"/>
    <w:rsid w:val="003C5093"/>
    <w:rsid w:val="003C61F2"/>
    <w:rsid w:val="003C620D"/>
    <w:rsid w:val="003D1D3C"/>
    <w:rsid w:val="003D446F"/>
    <w:rsid w:val="003D6885"/>
    <w:rsid w:val="003D774D"/>
    <w:rsid w:val="003E17AF"/>
    <w:rsid w:val="003E4318"/>
    <w:rsid w:val="003E5547"/>
    <w:rsid w:val="003E7456"/>
    <w:rsid w:val="003F2519"/>
    <w:rsid w:val="003F7302"/>
    <w:rsid w:val="00400C62"/>
    <w:rsid w:val="0040126E"/>
    <w:rsid w:val="004106D3"/>
    <w:rsid w:val="00410807"/>
    <w:rsid w:val="00413ED1"/>
    <w:rsid w:val="004210EE"/>
    <w:rsid w:val="00432845"/>
    <w:rsid w:val="00432B8D"/>
    <w:rsid w:val="004360D1"/>
    <w:rsid w:val="00442DD2"/>
    <w:rsid w:val="00444B01"/>
    <w:rsid w:val="00452B35"/>
    <w:rsid w:val="0045317C"/>
    <w:rsid w:val="004641C3"/>
    <w:rsid w:val="004709D5"/>
    <w:rsid w:val="00476218"/>
    <w:rsid w:val="00476F44"/>
    <w:rsid w:val="00481481"/>
    <w:rsid w:val="00484A1E"/>
    <w:rsid w:val="004A279F"/>
    <w:rsid w:val="004A4F9A"/>
    <w:rsid w:val="004B0AE9"/>
    <w:rsid w:val="004D354B"/>
    <w:rsid w:val="004D42E8"/>
    <w:rsid w:val="004E09E2"/>
    <w:rsid w:val="004E17CD"/>
    <w:rsid w:val="004E3202"/>
    <w:rsid w:val="004F64DE"/>
    <w:rsid w:val="004F68A5"/>
    <w:rsid w:val="0050368B"/>
    <w:rsid w:val="00511EFB"/>
    <w:rsid w:val="005126FD"/>
    <w:rsid w:val="00512AE3"/>
    <w:rsid w:val="00523361"/>
    <w:rsid w:val="00523F7C"/>
    <w:rsid w:val="005258FC"/>
    <w:rsid w:val="00525E19"/>
    <w:rsid w:val="0053047B"/>
    <w:rsid w:val="00542219"/>
    <w:rsid w:val="00544EB1"/>
    <w:rsid w:val="005513B3"/>
    <w:rsid w:val="005627D8"/>
    <w:rsid w:val="00590310"/>
    <w:rsid w:val="005A3B82"/>
    <w:rsid w:val="005A6092"/>
    <w:rsid w:val="005B71DC"/>
    <w:rsid w:val="005B75AF"/>
    <w:rsid w:val="005C1678"/>
    <w:rsid w:val="005C3A86"/>
    <w:rsid w:val="005D02DC"/>
    <w:rsid w:val="005D264A"/>
    <w:rsid w:val="005D7112"/>
    <w:rsid w:val="005E4973"/>
    <w:rsid w:val="005E7C5E"/>
    <w:rsid w:val="005F2236"/>
    <w:rsid w:val="00603AF9"/>
    <w:rsid w:val="006071E0"/>
    <w:rsid w:val="00611167"/>
    <w:rsid w:val="00611515"/>
    <w:rsid w:val="006172EC"/>
    <w:rsid w:val="006352A4"/>
    <w:rsid w:val="00643537"/>
    <w:rsid w:val="00661C84"/>
    <w:rsid w:val="006622F3"/>
    <w:rsid w:val="006760BF"/>
    <w:rsid w:val="0069173A"/>
    <w:rsid w:val="00696D40"/>
    <w:rsid w:val="00696FEE"/>
    <w:rsid w:val="006A2343"/>
    <w:rsid w:val="006A4AFA"/>
    <w:rsid w:val="006A6AA6"/>
    <w:rsid w:val="006B64E0"/>
    <w:rsid w:val="006B771F"/>
    <w:rsid w:val="006C4B82"/>
    <w:rsid w:val="006D19A4"/>
    <w:rsid w:val="006D4095"/>
    <w:rsid w:val="006E25B5"/>
    <w:rsid w:val="006E3790"/>
    <w:rsid w:val="006E4F9E"/>
    <w:rsid w:val="006E5AF5"/>
    <w:rsid w:val="00706A5A"/>
    <w:rsid w:val="0070735F"/>
    <w:rsid w:val="007121DD"/>
    <w:rsid w:val="00715E9C"/>
    <w:rsid w:val="00721199"/>
    <w:rsid w:val="00741B43"/>
    <w:rsid w:val="007531DC"/>
    <w:rsid w:val="0075435E"/>
    <w:rsid w:val="007545B8"/>
    <w:rsid w:val="0075504E"/>
    <w:rsid w:val="007554EF"/>
    <w:rsid w:val="0075783C"/>
    <w:rsid w:val="00765A54"/>
    <w:rsid w:val="007664F4"/>
    <w:rsid w:val="00767546"/>
    <w:rsid w:val="00783705"/>
    <w:rsid w:val="00793A08"/>
    <w:rsid w:val="007A004F"/>
    <w:rsid w:val="007A108A"/>
    <w:rsid w:val="007A2817"/>
    <w:rsid w:val="007B18DF"/>
    <w:rsid w:val="007B4FD1"/>
    <w:rsid w:val="007C6812"/>
    <w:rsid w:val="007D3FA8"/>
    <w:rsid w:val="007F175E"/>
    <w:rsid w:val="007F2D23"/>
    <w:rsid w:val="007F39ED"/>
    <w:rsid w:val="007F77B7"/>
    <w:rsid w:val="00805FCD"/>
    <w:rsid w:val="0080737E"/>
    <w:rsid w:val="00817C9D"/>
    <w:rsid w:val="008238C4"/>
    <w:rsid w:val="00827EBA"/>
    <w:rsid w:val="00836F1B"/>
    <w:rsid w:val="0084582F"/>
    <w:rsid w:val="0087547E"/>
    <w:rsid w:val="00883969"/>
    <w:rsid w:val="00892F0C"/>
    <w:rsid w:val="0089408C"/>
    <w:rsid w:val="008A1745"/>
    <w:rsid w:val="008B24B0"/>
    <w:rsid w:val="008C3C0C"/>
    <w:rsid w:val="008C627F"/>
    <w:rsid w:val="008C776D"/>
    <w:rsid w:val="008D1BCD"/>
    <w:rsid w:val="008E1D35"/>
    <w:rsid w:val="008E2A20"/>
    <w:rsid w:val="008E3CEF"/>
    <w:rsid w:val="008F04C4"/>
    <w:rsid w:val="008F07D1"/>
    <w:rsid w:val="008F4877"/>
    <w:rsid w:val="00901BC9"/>
    <w:rsid w:val="00902401"/>
    <w:rsid w:val="00902B8B"/>
    <w:rsid w:val="0092030D"/>
    <w:rsid w:val="00923358"/>
    <w:rsid w:val="00923A89"/>
    <w:rsid w:val="00925927"/>
    <w:rsid w:val="00927056"/>
    <w:rsid w:val="00940829"/>
    <w:rsid w:val="00941755"/>
    <w:rsid w:val="0095162A"/>
    <w:rsid w:val="00952467"/>
    <w:rsid w:val="0095464C"/>
    <w:rsid w:val="00954864"/>
    <w:rsid w:val="0095505C"/>
    <w:rsid w:val="00980E96"/>
    <w:rsid w:val="009A53A2"/>
    <w:rsid w:val="009A5690"/>
    <w:rsid w:val="009A6457"/>
    <w:rsid w:val="009C1C83"/>
    <w:rsid w:val="009C4A99"/>
    <w:rsid w:val="009C5541"/>
    <w:rsid w:val="009D1153"/>
    <w:rsid w:val="009D4955"/>
    <w:rsid w:val="009D4AFB"/>
    <w:rsid w:val="009F079F"/>
    <w:rsid w:val="009F136A"/>
    <w:rsid w:val="009F13A2"/>
    <w:rsid w:val="009F52A8"/>
    <w:rsid w:val="00A01614"/>
    <w:rsid w:val="00A13A83"/>
    <w:rsid w:val="00A13E95"/>
    <w:rsid w:val="00A179FC"/>
    <w:rsid w:val="00A21D0A"/>
    <w:rsid w:val="00A275B6"/>
    <w:rsid w:val="00A35C8B"/>
    <w:rsid w:val="00A35FE7"/>
    <w:rsid w:val="00A50A97"/>
    <w:rsid w:val="00A531E1"/>
    <w:rsid w:val="00A540A7"/>
    <w:rsid w:val="00A56CB0"/>
    <w:rsid w:val="00A642E3"/>
    <w:rsid w:val="00A644DF"/>
    <w:rsid w:val="00A65E87"/>
    <w:rsid w:val="00A822E7"/>
    <w:rsid w:val="00A825AE"/>
    <w:rsid w:val="00A8550E"/>
    <w:rsid w:val="00AB454A"/>
    <w:rsid w:val="00AD1C7B"/>
    <w:rsid w:val="00AD27C7"/>
    <w:rsid w:val="00AE1B37"/>
    <w:rsid w:val="00AE40E3"/>
    <w:rsid w:val="00AE4855"/>
    <w:rsid w:val="00AF5B25"/>
    <w:rsid w:val="00B02D61"/>
    <w:rsid w:val="00B06467"/>
    <w:rsid w:val="00B1029D"/>
    <w:rsid w:val="00B1312A"/>
    <w:rsid w:val="00B2439D"/>
    <w:rsid w:val="00B252C8"/>
    <w:rsid w:val="00B31A5F"/>
    <w:rsid w:val="00B350FE"/>
    <w:rsid w:val="00B361D5"/>
    <w:rsid w:val="00B47C59"/>
    <w:rsid w:val="00B50A0B"/>
    <w:rsid w:val="00B62040"/>
    <w:rsid w:val="00B72152"/>
    <w:rsid w:val="00B73040"/>
    <w:rsid w:val="00B75127"/>
    <w:rsid w:val="00B80A3C"/>
    <w:rsid w:val="00B8563E"/>
    <w:rsid w:val="00B90ABD"/>
    <w:rsid w:val="00BA0ECA"/>
    <w:rsid w:val="00BA7C53"/>
    <w:rsid w:val="00BB019B"/>
    <w:rsid w:val="00BC2B0D"/>
    <w:rsid w:val="00BD2564"/>
    <w:rsid w:val="00BE2079"/>
    <w:rsid w:val="00BE6074"/>
    <w:rsid w:val="00BF2E16"/>
    <w:rsid w:val="00C02A61"/>
    <w:rsid w:val="00C03243"/>
    <w:rsid w:val="00C06FA4"/>
    <w:rsid w:val="00C241A1"/>
    <w:rsid w:val="00C25E27"/>
    <w:rsid w:val="00C260D8"/>
    <w:rsid w:val="00C4378B"/>
    <w:rsid w:val="00C46D3B"/>
    <w:rsid w:val="00C47433"/>
    <w:rsid w:val="00C552D4"/>
    <w:rsid w:val="00C70C7B"/>
    <w:rsid w:val="00C71BBC"/>
    <w:rsid w:val="00C73BE3"/>
    <w:rsid w:val="00C81109"/>
    <w:rsid w:val="00C86E42"/>
    <w:rsid w:val="00C90BA5"/>
    <w:rsid w:val="00C92109"/>
    <w:rsid w:val="00C92718"/>
    <w:rsid w:val="00C93C7A"/>
    <w:rsid w:val="00C97B35"/>
    <w:rsid w:val="00CA5F3B"/>
    <w:rsid w:val="00CA79E5"/>
    <w:rsid w:val="00CB0E42"/>
    <w:rsid w:val="00CC689F"/>
    <w:rsid w:val="00CD19D1"/>
    <w:rsid w:val="00CD2865"/>
    <w:rsid w:val="00CD6FC4"/>
    <w:rsid w:val="00CE347D"/>
    <w:rsid w:val="00CF1421"/>
    <w:rsid w:val="00CF6DBE"/>
    <w:rsid w:val="00CF6F27"/>
    <w:rsid w:val="00D05CF0"/>
    <w:rsid w:val="00D11C4F"/>
    <w:rsid w:val="00D15B98"/>
    <w:rsid w:val="00D219D9"/>
    <w:rsid w:val="00D23E16"/>
    <w:rsid w:val="00D3109C"/>
    <w:rsid w:val="00D37497"/>
    <w:rsid w:val="00D414E2"/>
    <w:rsid w:val="00D43A2B"/>
    <w:rsid w:val="00D4692C"/>
    <w:rsid w:val="00D74128"/>
    <w:rsid w:val="00D75058"/>
    <w:rsid w:val="00D7592C"/>
    <w:rsid w:val="00D83559"/>
    <w:rsid w:val="00DA1409"/>
    <w:rsid w:val="00DB6877"/>
    <w:rsid w:val="00DC3A48"/>
    <w:rsid w:val="00DC56B2"/>
    <w:rsid w:val="00DD7141"/>
    <w:rsid w:val="00DD728A"/>
    <w:rsid w:val="00DE10E3"/>
    <w:rsid w:val="00DF4814"/>
    <w:rsid w:val="00E03E0E"/>
    <w:rsid w:val="00E106D8"/>
    <w:rsid w:val="00E1418A"/>
    <w:rsid w:val="00E20554"/>
    <w:rsid w:val="00E26387"/>
    <w:rsid w:val="00E3534E"/>
    <w:rsid w:val="00E416D4"/>
    <w:rsid w:val="00E53052"/>
    <w:rsid w:val="00E53699"/>
    <w:rsid w:val="00E547F6"/>
    <w:rsid w:val="00E548E3"/>
    <w:rsid w:val="00E738AA"/>
    <w:rsid w:val="00E74D13"/>
    <w:rsid w:val="00E82C05"/>
    <w:rsid w:val="00E93C31"/>
    <w:rsid w:val="00E95475"/>
    <w:rsid w:val="00EA100A"/>
    <w:rsid w:val="00EA2B73"/>
    <w:rsid w:val="00EB06C3"/>
    <w:rsid w:val="00EB27E9"/>
    <w:rsid w:val="00EB61A0"/>
    <w:rsid w:val="00EE0950"/>
    <w:rsid w:val="00EE1E58"/>
    <w:rsid w:val="00EE351E"/>
    <w:rsid w:val="00EF1F4C"/>
    <w:rsid w:val="00EF5009"/>
    <w:rsid w:val="00EF5D6E"/>
    <w:rsid w:val="00F044E8"/>
    <w:rsid w:val="00F118AA"/>
    <w:rsid w:val="00F16B4E"/>
    <w:rsid w:val="00F2620C"/>
    <w:rsid w:val="00F324EE"/>
    <w:rsid w:val="00F3686C"/>
    <w:rsid w:val="00F51792"/>
    <w:rsid w:val="00F519A2"/>
    <w:rsid w:val="00F548E0"/>
    <w:rsid w:val="00F56188"/>
    <w:rsid w:val="00F61D88"/>
    <w:rsid w:val="00F74CF9"/>
    <w:rsid w:val="00F76F5E"/>
    <w:rsid w:val="00F831B6"/>
    <w:rsid w:val="00F85E22"/>
    <w:rsid w:val="00F861AF"/>
    <w:rsid w:val="00F87A0E"/>
    <w:rsid w:val="00F87A6D"/>
    <w:rsid w:val="00FA0F53"/>
    <w:rsid w:val="00FA1421"/>
    <w:rsid w:val="00FA194D"/>
    <w:rsid w:val="00FB192D"/>
    <w:rsid w:val="00FB44A4"/>
    <w:rsid w:val="00FC0987"/>
    <w:rsid w:val="00FC2F00"/>
    <w:rsid w:val="00FD44F7"/>
    <w:rsid w:val="00FE2446"/>
    <w:rsid w:val="00FF611E"/>
    <w:rsid w:val="00FF7343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  <w:rsid w:val="7F9CA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0" ma:contentTypeDescription="Create a new document." ma:contentTypeScope="" ma:versionID="a56864fd3e4fe36d86c18cedfc8d21a5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15005e2d03e018ba89407bb21967bd22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Props1.xml><?xml version="1.0" encoding="utf-8"?>
<ds:datastoreItem xmlns:ds="http://schemas.openxmlformats.org/officeDocument/2006/customXml" ds:itemID="{4E390CD5-3425-49BC-B25F-F16BACABD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1054</Words>
  <Characters>6009</Characters>
  <Application>Microsoft Office Word</Application>
  <DocSecurity>0</DocSecurity>
  <Lines>50</Lines>
  <Paragraphs>14</Paragraphs>
  <ScaleCrop>false</ScaleCrop>
  <Company>DSS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Searles, Daniel (Staff Comisiwn y Senedd - Senedd Commission Staff)</cp:lastModifiedBy>
  <cp:revision>5</cp:revision>
  <cp:lastPrinted>2025-12-09T18:54:00Z</cp:lastPrinted>
  <dcterms:created xsi:type="dcterms:W3CDTF">2026-05-27T13:58:00Z</dcterms:created>
  <dcterms:modified xsi:type="dcterms:W3CDTF">2026-05-29T14:07:00Z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