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6740A" w14:textId="77777777" w:rsidR="001A39E2" w:rsidRDefault="001A39E2" w:rsidP="001A39E2">
      <w:pPr>
        <w:jc w:val="right"/>
        <w:rPr>
          <w:b/>
        </w:rPr>
      </w:pPr>
    </w:p>
    <w:p w14:paraId="138E5FF4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9FE037" wp14:editId="74EEBFF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50D4AE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803CF95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253F6CF5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D43C714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7C38F618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7A80AA6" wp14:editId="67523E6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BC904B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14DBBD7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600E3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9CDC3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8ABA2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9D192E" w14:textId="42E20C63" w:rsidR="00EA5290" w:rsidRPr="00670227" w:rsidRDefault="00BB62F1" w:rsidP="00CC269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84139674"/>
            <w:r>
              <w:rPr>
                <w:rFonts w:ascii="Arial" w:hAnsi="Arial"/>
                <w:b/>
                <w:sz w:val="24"/>
              </w:rPr>
              <w:t>Cyllideb Ddrafft 2025-26: Trethi Cymru</w:t>
            </w:r>
            <w:bookmarkEnd w:id="0"/>
          </w:p>
        </w:tc>
      </w:tr>
      <w:tr w:rsidR="00EA5290" w:rsidRPr="00A011A1" w14:paraId="2805198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FA00C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BB9D7" w14:textId="6B3BAE98" w:rsidR="00EA5290" w:rsidRPr="00670227" w:rsidRDefault="00EB309E" w:rsidP="00CC269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10 Rhagfyr 2024</w:t>
            </w:r>
          </w:p>
        </w:tc>
      </w:tr>
      <w:tr w:rsidR="00EA5290" w:rsidRPr="00A011A1" w14:paraId="4084D37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191F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94124" w14:textId="3775ACF2" w:rsidR="00EA5290" w:rsidRPr="00670227" w:rsidRDefault="00EB309E" w:rsidP="00CC269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Mark Drakeford AS, Ysgrifennydd y Cabinet dros Gyllid a'r Gymraeg</w:t>
            </w:r>
          </w:p>
        </w:tc>
      </w:tr>
    </w:tbl>
    <w:p w14:paraId="42B0C6A8" w14:textId="77777777" w:rsidR="00EA5290" w:rsidRPr="00A011A1" w:rsidRDefault="00EA5290" w:rsidP="00EA5290"/>
    <w:p w14:paraId="3F856641" w14:textId="77777777" w:rsidR="005D2D74" w:rsidRDefault="00B62B6F" w:rsidP="00714B68">
      <w:pPr>
        <w:spacing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 trethi Cymru yn rhan hanfodol o'n trefniadau cyllidol, gan gyfrannu at y cyllid sydd ar gael ar gyfer ein cynlluniau gwariant sydd wedi'u nodi yn y Gyllideb Ddrafft heddiw, yn ogystal â darparu dull cyflawni pwysig ar gyfer rhai o'n blaenoriaethau polisi. </w:t>
      </w:r>
    </w:p>
    <w:p w14:paraId="40BDA51C" w14:textId="77777777" w:rsidR="00714B68" w:rsidRDefault="00714B68" w:rsidP="00714B68">
      <w:pPr>
        <w:spacing w:line="259" w:lineRule="auto"/>
        <w:rPr>
          <w:rFonts w:ascii="Arial" w:hAnsi="Arial" w:cs="Arial"/>
          <w:sz w:val="24"/>
          <w:szCs w:val="24"/>
        </w:rPr>
      </w:pPr>
    </w:p>
    <w:p w14:paraId="0DD7B57B" w14:textId="6A99E16D" w:rsidR="00864E5B" w:rsidRDefault="00E453DC" w:rsidP="00714B6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Gyda'i gilydd, bydd Cyfraddau Treth Incwm Cymru, y Dreth Gwarediadau Tirlenwi a'r Dreth Trafodiadau Tir yn cyfrannu tua £4 biliwn at Gyllideb Llywodraeth Cymru ar gyfer 2025-26.</w:t>
      </w:r>
    </w:p>
    <w:p w14:paraId="062A4A54" w14:textId="5C1D4B1C" w:rsidR="00FE67B0" w:rsidRDefault="00FE67B0" w:rsidP="00714B68">
      <w:pPr>
        <w:spacing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Mae'r datganiad hwn yn amlinellu'r penderfyniadau allweddol yr ydym yn eu cynnig o ran trethi Cymru.</w:t>
      </w:r>
    </w:p>
    <w:p w14:paraId="68D583BF" w14:textId="77777777" w:rsidR="00714B68" w:rsidRPr="005D2D74" w:rsidRDefault="00714B68" w:rsidP="00714B68">
      <w:pPr>
        <w:spacing w:line="259" w:lineRule="auto"/>
        <w:rPr>
          <w:rFonts w:ascii="Arial" w:hAnsi="Arial" w:cs="Arial"/>
          <w:sz w:val="24"/>
          <w:szCs w:val="24"/>
        </w:rPr>
      </w:pPr>
    </w:p>
    <w:p w14:paraId="42D929A7" w14:textId="6BACF6AF" w:rsidR="003A7892" w:rsidRDefault="003A7892" w:rsidP="00714B68">
      <w:pPr>
        <w:spacing w:line="259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Cyfraddau Treth Incwm </w:t>
      </w:r>
      <w:r w:rsidR="00714B68">
        <w:rPr>
          <w:rFonts w:ascii="Arial" w:hAnsi="Arial"/>
          <w:b/>
          <w:sz w:val="24"/>
          <w:u w:val="single"/>
        </w:rPr>
        <w:t>Cymru</w:t>
      </w:r>
    </w:p>
    <w:p w14:paraId="50E74230" w14:textId="77777777" w:rsidR="00714B68" w:rsidRPr="005D2D74" w:rsidRDefault="00714B68" w:rsidP="00714B68">
      <w:pPr>
        <w:spacing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9D8B74" w14:textId="172E2BC9" w:rsidR="00F64A3A" w:rsidRDefault="00F64A3A" w:rsidP="00714B68">
      <w:pPr>
        <w:spacing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Rwy'n cynnig pennu cyfraddau treth incwm Cymru ar gyfer 2025-26 ar 10c ar gyfer y tair cyfradd treth incwm (sylfaenol, uwch ac ychwanegol). Bydd hyn yn sicrhau bod trethdalwyr yng Nghymru yn talu'r un cyfraddau treth incwm â threthdalwyr yn Lloegr a Gogledd Iwerddon. Mae hyn yn golygu na fydd unrhyw newidiadau i gyfraddau treth incwm Cymru yn ystod 2025-26.</w:t>
      </w:r>
    </w:p>
    <w:p w14:paraId="109F06CD" w14:textId="77777777" w:rsidR="00714B68" w:rsidRPr="00C83063" w:rsidRDefault="00714B68" w:rsidP="00714B68">
      <w:pPr>
        <w:spacing w:line="259" w:lineRule="auto"/>
        <w:rPr>
          <w:rFonts w:ascii="Arial" w:hAnsi="Arial" w:cs="Arial"/>
          <w:sz w:val="24"/>
          <w:szCs w:val="24"/>
        </w:rPr>
      </w:pPr>
    </w:p>
    <w:p w14:paraId="458813A5" w14:textId="5480645C" w:rsidR="004240D6" w:rsidRDefault="00443EA6" w:rsidP="00714B68">
      <w:pPr>
        <w:autoSpaceDE w:val="0"/>
        <w:autoSpaceDN w:val="0"/>
        <w:adjustRightInd w:val="0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Law yn llaw â'r Gyllideb Ddrafft hon, rwy'n cyhoeddi </w:t>
      </w:r>
      <w:hyperlink r:id="rId12" w:history="1">
        <w:r w:rsidRPr="00714B68">
          <w:rPr>
            <w:rStyle w:val="Hyperlink"/>
            <w:rFonts w:ascii="Arial" w:hAnsi="Arial"/>
            <w:sz w:val="24"/>
          </w:rPr>
          <w:t>Canllaw Cyflym wedi'i ddiweddaru ynghylch Cyfraddau Treth Incwm Cymru</w:t>
        </w:r>
      </w:hyperlink>
      <w:r w:rsidR="00B909EB">
        <w:rPr>
          <w:rFonts w:ascii="Arial" w:hAnsi="Arial"/>
          <w:color w:val="000000" w:themeColor="text1"/>
          <w:sz w:val="24"/>
        </w:rPr>
        <w:t>.</w:t>
      </w:r>
      <w:r>
        <w:rPr>
          <w:rFonts w:ascii="Arial" w:hAnsi="Arial"/>
          <w:color w:val="000000" w:themeColor="text1"/>
          <w:sz w:val="24"/>
        </w:rPr>
        <w:t xml:space="preserve"> Mae'n rhoi amcangyfrifon o'r effaith y gallai newidiadau i bob un o dair cyfradd Cymru ei chael ar refeniw.</w:t>
      </w:r>
    </w:p>
    <w:p w14:paraId="48CB81F2" w14:textId="77777777" w:rsidR="004240D6" w:rsidRDefault="004240D6" w:rsidP="00714B68">
      <w:pPr>
        <w:autoSpaceDE w:val="0"/>
        <w:autoSpaceDN w:val="0"/>
        <w:adjustRightInd w:val="0"/>
        <w:rPr>
          <w:rFonts w:ascii="Arial" w:hAnsi="Arial"/>
          <w:color w:val="000000" w:themeColor="text1"/>
          <w:sz w:val="24"/>
        </w:rPr>
      </w:pPr>
    </w:p>
    <w:p w14:paraId="3E528EBB" w14:textId="24CD47CE" w:rsidR="00864E5B" w:rsidRDefault="00864E5B" w:rsidP="00714B68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Y Dreth </w:t>
      </w:r>
      <w:proofErr w:type="spellStart"/>
      <w:r>
        <w:rPr>
          <w:rFonts w:ascii="Arial" w:hAnsi="Arial"/>
          <w:b/>
          <w:sz w:val="24"/>
          <w:u w:val="single"/>
        </w:rPr>
        <w:t>Trafodiadau</w:t>
      </w:r>
      <w:proofErr w:type="spellEnd"/>
      <w:r>
        <w:rPr>
          <w:rFonts w:ascii="Arial" w:hAnsi="Arial"/>
          <w:b/>
          <w:sz w:val="24"/>
          <w:u w:val="single"/>
        </w:rPr>
        <w:t xml:space="preserve"> Tir</w:t>
      </w:r>
    </w:p>
    <w:p w14:paraId="5DAC4836" w14:textId="77777777" w:rsidR="00714B68" w:rsidRPr="005D2D74" w:rsidRDefault="00714B68" w:rsidP="00714B6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62B43EC" w14:textId="78D02791" w:rsidR="00D03B3E" w:rsidRDefault="00FE67B0" w:rsidP="00714B68">
      <w:pPr>
        <w:spacing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Mae cyfraddau preswyl uwch y Dreth Trafodiadau Tir yn cynyddu un pwynt canran ar draws pob band yn y Gyllideb Ddrafft hon. Caiff y newidiadau hyn eu gwneud heddiw drwy reoliadau a byddant yn dod i rym ar 11 Rhagfyr. Bydd y trethdalwyr hynny sydd eisoes wedi cyfnewid contractau yn talu'r cyfraddau blaenorol cyn belled â'u bod yn cydymffurfio â'r rheolau trosiannol perthnasol.</w:t>
      </w:r>
    </w:p>
    <w:p w14:paraId="03C9C539" w14:textId="77777777" w:rsidR="00714B68" w:rsidRPr="005D2D74" w:rsidRDefault="00714B68" w:rsidP="00714B68">
      <w:pPr>
        <w:spacing w:line="259" w:lineRule="auto"/>
        <w:rPr>
          <w:rFonts w:ascii="Arial" w:hAnsi="Arial" w:cs="Arial"/>
          <w:sz w:val="24"/>
          <w:szCs w:val="24"/>
        </w:rPr>
      </w:pPr>
    </w:p>
    <w:p w14:paraId="6D7D5EFB" w14:textId="7CD357C8" w:rsidR="00DE601E" w:rsidRDefault="005E7F28" w:rsidP="00714B68">
      <w:pPr>
        <w:spacing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Yn fras, bydd y newid hwn yn arwain at osod cyfraddau preswyl uwch y Dreth Trafodiadau Tir bum pwynt canran yn uwch na'r prif gyfraddau preswyl. Amcangyfrifir y bydd y cynnydd hwn yn arwain at gyllid ychwanegol gwerth £7 miliwn yn ystod 2025-26, a fydd yn cynyddu'r cyllid sydd ar gael i'w fuddsoddi mewn gwasanaethau cyhoeddus yng Nghymru. 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  <w:t xml:space="preserve">Gweler y newidiadau i'r cyfraddau yn Atodiad 1. Mae'r rheoliadau yn ddarostyngedig i'r weithdrefn gadarnhaol 'gwnaed' a bydd pleidlais y Senedd i roi effaith barhaol i'r cyfraddau hyn yn cael ei chynnal ym mis Ionawr. </w:t>
      </w:r>
    </w:p>
    <w:p w14:paraId="023B4281" w14:textId="77777777" w:rsidR="00714B68" w:rsidRPr="00C83063" w:rsidRDefault="00714B68" w:rsidP="00714B68">
      <w:pPr>
        <w:spacing w:line="259" w:lineRule="auto"/>
        <w:rPr>
          <w:rFonts w:ascii="Arial" w:hAnsi="Arial" w:cs="Arial"/>
          <w:sz w:val="24"/>
          <w:szCs w:val="24"/>
        </w:rPr>
      </w:pPr>
    </w:p>
    <w:p w14:paraId="3202FC63" w14:textId="77777777" w:rsidR="00D101DE" w:rsidRPr="00C83063" w:rsidRDefault="00B40AB1" w:rsidP="00714B68">
      <w:pPr>
        <w:spacing w:line="259" w:lineRule="auto"/>
        <w:rPr>
          <w:rFonts w:ascii="Arial" w:hAnsi="Arial" w:cs="Arial"/>
          <w:sz w:val="24"/>
          <w:szCs w:val="24"/>
        </w:rPr>
      </w:pPr>
      <w:bookmarkStart w:id="1" w:name="_Hlk184033494"/>
      <w:r>
        <w:rPr>
          <w:rFonts w:ascii="Arial" w:hAnsi="Arial"/>
          <w:sz w:val="24"/>
        </w:rPr>
        <w:t>Nid wyf yn cynnig newid unrhyw un o gyfraddau neu fandiau eraill y Dreth Trafodiadau Tir.</w:t>
      </w:r>
    </w:p>
    <w:p w14:paraId="77DF7198" w14:textId="4165C28E" w:rsidR="002E3B8C" w:rsidRDefault="00DB63D5" w:rsidP="00714B68">
      <w:pPr>
        <w:spacing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Mae'r trothwy cychwyn presennol ar gyfer prif gyfraddau preswyl y Dreth Trafodiadau Tir yn dal i fod yn £225,000 gan sicrhau bod tua 60% o'r </w:t>
      </w:r>
      <w:proofErr w:type="spellStart"/>
      <w:r>
        <w:rPr>
          <w:rFonts w:ascii="Arial" w:hAnsi="Arial"/>
          <w:sz w:val="24"/>
        </w:rPr>
        <w:t>trafodiadau</w:t>
      </w:r>
      <w:proofErr w:type="spellEnd"/>
      <w:r>
        <w:rPr>
          <w:rFonts w:ascii="Arial" w:hAnsi="Arial"/>
          <w:sz w:val="24"/>
        </w:rPr>
        <w:t xml:space="preserve"> preswyl yn is na'r trothwy ar gyfer talu'r Dreth Trafodiadau Tir. </w:t>
      </w:r>
    </w:p>
    <w:p w14:paraId="72AF71FD" w14:textId="77777777" w:rsidR="00714B68" w:rsidRPr="00C83063" w:rsidRDefault="00714B68" w:rsidP="00714B68">
      <w:pPr>
        <w:spacing w:line="259" w:lineRule="auto"/>
        <w:rPr>
          <w:rFonts w:ascii="Arial" w:hAnsi="Arial" w:cs="Arial"/>
          <w:sz w:val="24"/>
          <w:szCs w:val="24"/>
        </w:rPr>
      </w:pPr>
    </w:p>
    <w:bookmarkEnd w:id="1"/>
    <w:p w14:paraId="4BEF670C" w14:textId="2B273053" w:rsidR="00D8639E" w:rsidRDefault="00D8639E" w:rsidP="00714B68">
      <w:pPr>
        <w:spacing w:line="259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Fel y manylir yn y Rhagolwg Trethi Cymreig a gyhoeddwyd ar 10 Rhagfyr, mae'r refeniw a ragwelir o'r Dreth Trafodiadau Tir yn ystod 2025-26 yn cynnwys £2.6 miliwn o dderbyniadau trethi ychwanegol yn sgil buddsoddi adnoddau ychwanegol yn Awdurdod Cyllid Cymru. Bydd hyn yn caniatáu i'r Awdurdod ehangu ei waith i nodi a chywiro ffurflenni treth sy'n ceisio tan-adrodd yr atebolrwydd i dalu trethi ac yna adennill y symiau hynny.</w:t>
      </w:r>
    </w:p>
    <w:p w14:paraId="37A43737" w14:textId="77777777" w:rsidR="00714B68" w:rsidRPr="005D2D74" w:rsidRDefault="00714B68" w:rsidP="00714B68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1688BEBD" w14:textId="1AA21AAB" w:rsidR="0020525E" w:rsidRDefault="00FE67B0" w:rsidP="00714B68">
      <w:pPr>
        <w:spacing w:line="259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Yn y flwyddyn newydd, byddaf yn gosod rheoliadau drafft gerbron y Senedd i wneud newidiadau i'r rhyddhad anheddau lluosog sydd ar gael wrth brynu dau annedd neu ragor yng Nghymru. Bydd y newidiadau hyn yn sicrhau na fydd hawliadau am ryddhad anheddau lluosog yn cael eu caniatáu pan fo'r </w:t>
      </w:r>
      <w:proofErr w:type="spellStart"/>
      <w:r>
        <w:rPr>
          <w:rFonts w:ascii="Arial" w:hAnsi="Arial"/>
          <w:sz w:val="24"/>
        </w:rPr>
        <w:t>Esemptiad</w:t>
      </w:r>
      <w:proofErr w:type="spellEnd"/>
      <w:r>
        <w:rPr>
          <w:rFonts w:ascii="Arial" w:hAnsi="Arial"/>
          <w:sz w:val="24"/>
        </w:rPr>
        <w:t xml:space="preserve"> Anheddau Atodol yn cael ei gymhwyso. Byddai trethdalwyr sy'n ddarostyngedig i'r </w:t>
      </w:r>
      <w:proofErr w:type="spellStart"/>
      <w:r>
        <w:rPr>
          <w:rFonts w:ascii="Arial" w:hAnsi="Arial"/>
          <w:sz w:val="24"/>
        </w:rPr>
        <w:t>esemptiad</w:t>
      </w:r>
      <w:proofErr w:type="spellEnd"/>
      <w:r>
        <w:rPr>
          <w:rFonts w:ascii="Arial" w:hAnsi="Arial"/>
          <w:sz w:val="24"/>
        </w:rPr>
        <w:t xml:space="preserve"> felly'n talu'r prif gyfraddau preswyl ar gyfanswm y gydnabyddiaeth, heb fudd y rhyddhad anheddau lluosog. Dyma'r cam cyntaf tuag at wella'r gyfundrefn sy'n sail i brynu mwy nag un eiddo mewn </w:t>
      </w:r>
      <w:proofErr w:type="spellStart"/>
      <w:r>
        <w:rPr>
          <w:rFonts w:ascii="Arial" w:hAnsi="Arial"/>
          <w:sz w:val="24"/>
        </w:rPr>
        <w:t>trafodiad</w:t>
      </w:r>
      <w:proofErr w:type="spellEnd"/>
      <w:r>
        <w:rPr>
          <w:rFonts w:ascii="Arial" w:hAnsi="Arial"/>
          <w:sz w:val="24"/>
        </w:rPr>
        <w:t xml:space="preserve">. Bydd rhagor o waith yn cael ei gynnal yn ystod y flwyddyn sydd i ddod er mwyn ystyried y rhyddhad anheddau lluosog yng nghyfundrefn y dreth </w:t>
      </w:r>
      <w:proofErr w:type="spellStart"/>
      <w:r>
        <w:rPr>
          <w:rFonts w:ascii="Arial" w:hAnsi="Arial"/>
          <w:sz w:val="24"/>
        </w:rPr>
        <w:t>trafodiadau</w:t>
      </w:r>
      <w:proofErr w:type="spellEnd"/>
      <w:r>
        <w:rPr>
          <w:rFonts w:ascii="Arial" w:hAnsi="Arial"/>
          <w:sz w:val="24"/>
        </w:rPr>
        <w:t xml:space="preserve"> tir.</w:t>
      </w:r>
    </w:p>
    <w:p w14:paraId="08009D04" w14:textId="77777777" w:rsidR="00714B68" w:rsidRPr="005D2D74" w:rsidRDefault="00714B68" w:rsidP="00714B68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4931147F" w14:textId="24C1F70C" w:rsidR="00A46E88" w:rsidRDefault="00FE67B0" w:rsidP="00714B68">
      <w:pPr>
        <w:spacing w:line="259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Bydd rheoliadau drafft hefyd yn cael eu gosod heddiw i estyn rhyddhad safleoedd treth arbennig newydd y Dreth Trafodiadau Tir, a roddir ar hyn o bryd i'r Porthladd Rhydd Celtaidd, i ardaloedd dynodedig perthnasol Porthladd Rhydd Ynys Môn. Mae'r rheoliadau hynny'n ddarostyngedig i'r weithdrefn gadarnhaol ddrafft, ac ym mis Ionawr, ceisir cymeradwyaeth y Senedd i sicrhau y bydd y rhyddhad ar waith pan ddaw rheoliadau dynodi Llywodraeth y DU i rym. </w:t>
      </w:r>
    </w:p>
    <w:p w14:paraId="4A9CBB82" w14:textId="77777777" w:rsidR="00714B68" w:rsidRPr="005D2D74" w:rsidRDefault="00714B68" w:rsidP="00714B68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0D40E1A4" w14:textId="77777777" w:rsidR="00D74DF0" w:rsidRDefault="00D74DF0" w:rsidP="00714B68">
      <w:pPr>
        <w:spacing w:line="259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Y Dreth Gwarediadau Tirlenwi</w:t>
      </w:r>
    </w:p>
    <w:p w14:paraId="12E04DF9" w14:textId="77777777" w:rsidR="00714B68" w:rsidRPr="005D2D74" w:rsidRDefault="00714B68" w:rsidP="00714B68">
      <w:pPr>
        <w:spacing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571419" w14:textId="68DDD2E3" w:rsidR="00D74DF0" w:rsidRDefault="00FE67B0" w:rsidP="00714B68">
      <w:pPr>
        <w:spacing w:line="259" w:lineRule="auto"/>
        <w:rPr>
          <w:rFonts w:ascii="Arial" w:hAnsi="Arial"/>
          <w:sz w:val="24"/>
        </w:rPr>
      </w:pPr>
      <w:bookmarkStart w:id="2" w:name="_Hlk184033589"/>
      <w:r>
        <w:rPr>
          <w:rFonts w:ascii="Arial" w:hAnsi="Arial"/>
          <w:sz w:val="24"/>
        </w:rPr>
        <w:t xml:space="preserve">Mae'r Gyllideb Ddrafft hon yn cynnig codi cyfradd safonol y Dreth Gwarediadau Tirlenwi o 1 Ebrill 2025 ymlaen, yn unol â'r cynnydd i Dreth Tirlenwi gyfatebol Llywodraeth y DU. Bydd </w:t>
      </w:r>
      <w:r>
        <w:rPr>
          <w:rFonts w:ascii="Arial" w:hAnsi="Arial"/>
          <w:sz w:val="24"/>
        </w:rPr>
        <w:lastRenderedPageBreak/>
        <w:t xml:space="preserve">hyn yn sicrhau bod gwasanaethau cyhoeddus yng Nghymru yn parhau i elwa ar refeniw trethi, gan </w:t>
      </w:r>
      <w:proofErr w:type="spellStart"/>
      <w:r>
        <w:rPr>
          <w:rFonts w:ascii="Arial" w:hAnsi="Arial"/>
          <w:sz w:val="24"/>
        </w:rPr>
        <w:t>hefydleihau'r</w:t>
      </w:r>
      <w:proofErr w:type="spellEnd"/>
      <w:r>
        <w:rPr>
          <w:rFonts w:ascii="Arial" w:hAnsi="Arial"/>
          <w:sz w:val="24"/>
        </w:rPr>
        <w:t xml:space="preserve"> risg o symud gwastraff ar draws ffiniau.</w:t>
      </w:r>
    </w:p>
    <w:p w14:paraId="456A3E04" w14:textId="77777777" w:rsidR="00714B68" w:rsidRPr="00C83063" w:rsidRDefault="00714B68" w:rsidP="00714B68">
      <w:pPr>
        <w:spacing w:line="259" w:lineRule="auto"/>
        <w:rPr>
          <w:rFonts w:ascii="Arial" w:hAnsi="Arial" w:cs="Arial"/>
          <w:sz w:val="24"/>
          <w:szCs w:val="24"/>
        </w:rPr>
      </w:pPr>
    </w:p>
    <w:bookmarkEnd w:id="2"/>
    <w:p w14:paraId="4DF2861D" w14:textId="48028D73" w:rsidR="009F13FA" w:rsidRDefault="00D74DF0" w:rsidP="00714B68">
      <w:pPr>
        <w:spacing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Yn dilyn yr ymgynghoriad cyhoeddus ynghylch cyfradd is y Dreth Gwarediadau Tirlenwi, </w:t>
      </w:r>
      <w:bookmarkStart w:id="3" w:name="_Hlk184033738"/>
      <w:r>
        <w:rPr>
          <w:rFonts w:ascii="Arial" w:hAnsi="Arial"/>
          <w:sz w:val="24"/>
        </w:rPr>
        <w:t xml:space="preserve">bydd yn cael ei godi i £6.30 y dunnell. Bydd hyn yn gosod y gyfradd is ar 5% o'r gyfradd safonol, ychydig o dan ddwbl y gyfradd bresennol. </w:t>
      </w:r>
      <w:bookmarkEnd w:id="3"/>
    </w:p>
    <w:p w14:paraId="0881D90E" w14:textId="77777777" w:rsidR="00714B68" w:rsidRPr="00C83063" w:rsidRDefault="00714B68" w:rsidP="00714B68">
      <w:pPr>
        <w:spacing w:line="259" w:lineRule="auto"/>
        <w:rPr>
          <w:rFonts w:ascii="Arial" w:hAnsi="Arial" w:cs="Arial"/>
          <w:sz w:val="24"/>
          <w:szCs w:val="24"/>
        </w:rPr>
      </w:pPr>
    </w:p>
    <w:p w14:paraId="0870B818" w14:textId="6730E0C9" w:rsidR="0052454D" w:rsidRDefault="0000710B" w:rsidP="00714B68">
      <w:pPr>
        <w:spacing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Caiff crynodeb o'r </w:t>
      </w:r>
      <w:hyperlink r:id="rId13" w:history="1">
        <w:r w:rsidRPr="00BB50F2">
          <w:rPr>
            <w:rStyle w:val="Hyperlink"/>
            <w:rFonts w:ascii="Arial" w:hAnsi="Arial"/>
            <w:sz w:val="24"/>
          </w:rPr>
          <w:t>ymatebion i'r ymgynghoriad cyhoeddus ynghylch cyfradd is y Dreth Gwarediadau Tirlenwi</w:t>
        </w:r>
      </w:hyperlink>
      <w:r>
        <w:rPr>
          <w:rFonts w:ascii="Arial" w:hAnsi="Arial"/>
          <w:sz w:val="24"/>
        </w:rPr>
        <w:t xml:space="preserve"> ei gyhoeddi heddiw.</w:t>
      </w:r>
    </w:p>
    <w:p w14:paraId="1399C6FF" w14:textId="77777777" w:rsidR="00714B68" w:rsidRPr="00C83063" w:rsidRDefault="00714B68" w:rsidP="00714B68">
      <w:pPr>
        <w:spacing w:line="259" w:lineRule="auto"/>
        <w:rPr>
          <w:rFonts w:ascii="Arial" w:hAnsi="Arial" w:cs="Arial"/>
          <w:sz w:val="24"/>
          <w:szCs w:val="24"/>
        </w:rPr>
      </w:pPr>
    </w:p>
    <w:p w14:paraId="4715CB9D" w14:textId="0110D056" w:rsidR="00ED4B11" w:rsidRDefault="001D4EAC" w:rsidP="00714B68">
      <w:pPr>
        <w:spacing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Yn unol ag amcanion Llywodraeth Cymru, mae'r dull newydd ar gyfer gosod cyfraddau is ynghyd â'r cynnydd sylweddol ar gyfer y flwyddyn nesaf yn cydnabod yr angen i gynyddu cymhellion i leihau gwastraff a waredir drwy safleoedd tirlenwi, a hynny wrth geisio rheoli'r risgiau o ran twristiaeth gwastraff a'r cynnydd mewn troseddau gwastraff. </w:t>
      </w:r>
    </w:p>
    <w:p w14:paraId="320E0D00" w14:textId="77777777" w:rsidR="00714B68" w:rsidRPr="00C83063" w:rsidRDefault="00714B68" w:rsidP="00714B68">
      <w:pPr>
        <w:spacing w:line="259" w:lineRule="auto"/>
        <w:rPr>
          <w:rFonts w:ascii="Arial" w:hAnsi="Arial" w:cs="Arial"/>
          <w:sz w:val="24"/>
          <w:szCs w:val="24"/>
        </w:rPr>
      </w:pPr>
    </w:p>
    <w:p w14:paraId="14BB703F" w14:textId="0E0C78C7" w:rsidR="00D74DF0" w:rsidRDefault="00ED4B11" w:rsidP="00714B68">
      <w:pPr>
        <w:spacing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Byddwn yn monitro effaith y newid hwn, ac rwy'n barod, yn ôl yr angen i helpu i gyrraedd ein nod o ddod yn genedl ddiwastraff erbyn 2050, i gynyddu'r gyfradd ymhellach os na fydd tystiolaeth yn dangos lleihad yn swm y gwastraff graddfa is a waredir drwy safleoedd tirlenwi.</w:t>
      </w:r>
    </w:p>
    <w:p w14:paraId="33117D6C" w14:textId="77777777" w:rsidR="00714B68" w:rsidRPr="00C83063" w:rsidRDefault="00714B68" w:rsidP="00714B68">
      <w:pPr>
        <w:spacing w:line="259" w:lineRule="auto"/>
        <w:rPr>
          <w:rFonts w:ascii="Arial" w:hAnsi="Arial" w:cs="Arial"/>
          <w:sz w:val="24"/>
          <w:szCs w:val="24"/>
        </w:rPr>
      </w:pPr>
    </w:p>
    <w:p w14:paraId="75CDDE66" w14:textId="0A19EDC8" w:rsidR="00D74DF0" w:rsidRDefault="00D74DF0" w:rsidP="00714B68">
      <w:pPr>
        <w:spacing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Bydd y gyfradd anawdurdodedig yn parhau i fod yn 150% o'r gyfradd safonol.</w:t>
      </w:r>
    </w:p>
    <w:p w14:paraId="06893083" w14:textId="77777777" w:rsidR="00714B68" w:rsidRPr="00C83063" w:rsidRDefault="00714B68" w:rsidP="00714B68">
      <w:pPr>
        <w:spacing w:line="259" w:lineRule="auto"/>
        <w:rPr>
          <w:rFonts w:ascii="Arial" w:hAnsi="Arial" w:cs="Arial"/>
          <w:sz w:val="24"/>
          <w:szCs w:val="24"/>
        </w:rPr>
      </w:pPr>
    </w:p>
    <w:p w14:paraId="75D9F420" w14:textId="2C660D5F" w:rsidR="00D74DF0" w:rsidRDefault="00D74DF0" w:rsidP="00714B68">
      <w:pPr>
        <w:spacing w:line="259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Bydd y Rheoliadau sy'n ofynnol i roi effaith i'r newidiadau hyn (a amlinellir yn Atodiad 2) yn cael eu gosod gerbron y Senedd yn gynnar yn 2025.</w:t>
      </w:r>
    </w:p>
    <w:p w14:paraId="7DACA22C" w14:textId="77777777" w:rsidR="00714B68" w:rsidRPr="00C83063" w:rsidRDefault="00714B68" w:rsidP="00714B68">
      <w:pPr>
        <w:spacing w:line="259" w:lineRule="auto"/>
        <w:rPr>
          <w:rFonts w:ascii="Arial" w:hAnsi="Arial" w:cs="Arial"/>
          <w:sz w:val="24"/>
          <w:szCs w:val="24"/>
        </w:rPr>
      </w:pPr>
    </w:p>
    <w:p w14:paraId="5E72A29F" w14:textId="0B22E878" w:rsidR="000D48A2" w:rsidRDefault="000D48A2" w:rsidP="00714B68">
      <w:pPr>
        <w:spacing w:line="259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Adroddiad ar Bolisi Trethi </w:t>
      </w:r>
      <w:r w:rsidR="00714B68">
        <w:rPr>
          <w:rFonts w:ascii="Arial" w:hAnsi="Arial"/>
          <w:b/>
          <w:sz w:val="24"/>
          <w:u w:val="single"/>
        </w:rPr>
        <w:t>Cymru</w:t>
      </w:r>
    </w:p>
    <w:p w14:paraId="54CE10E1" w14:textId="77777777" w:rsidR="00714B68" w:rsidRPr="00C83063" w:rsidRDefault="00714B68" w:rsidP="00714B68">
      <w:pPr>
        <w:spacing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D178E9" w14:textId="4D70582E" w:rsidR="00282441" w:rsidRDefault="006E7019" w:rsidP="00714B6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Caiff y pedwerydd </w:t>
      </w:r>
      <w:hyperlink r:id="rId14" w:history="1">
        <w:r w:rsidRPr="000059F9">
          <w:rPr>
            <w:rStyle w:val="Hyperlink"/>
            <w:rFonts w:ascii="Arial" w:hAnsi="Arial"/>
            <w:iCs/>
            <w:sz w:val="24"/>
          </w:rPr>
          <w:t>Adroddiad ar Bolisi Trethi Cymru</w:t>
        </w:r>
      </w:hyperlink>
      <w:r w:rsidRPr="00BB50F2">
        <w:rPr>
          <w:rFonts w:ascii="Arial" w:hAnsi="Arial"/>
          <w:iCs/>
          <w:sz w:val="24"/>
        </w:rPr>
        <w:t xml:space="preserve"> ei gyhoeddi heddiw hefyd. Mae'n adrodd yn erbyn Fframwaith Polisi Trethi a Chynllun Gwaith Polisi Trethi 2021-2026 Llywodraeth Cymru. Mae'n nodi cynnydd ar ystod o weithgareddau, gan gynnwys bwrw ati â'n hymrwymiadau yn y Rhaglen Lywodraethu sy'n ymwneud â threthi o ran diwygio cyllid llywodraeth leol, a'r Bil ardoll ymwelwyr.</w:t>
      </w:r>
    </w:p>
    <w:p w14:paraId="68EDA911" w14:textId="41E950EE" w:rsidR="006E7019" w:rsidRDefault="006E7019" w:rsidP="00714B68">
      <w:pPr>
        <w:rPr>
          <w:rFonts w:ascii="Arial" w:hAnsi="Arial" w:cs="Arial"/>
          <w:sz w:val="24"/>
          <w:szCs w:val="24"/>
        </w:rPr>
      </w:pPr>
      <w:r>
        <w:br w:type="page"/>
      </w:r>
    </w:p>
    <w:p w14:paraId="2ED2956D" w14:textId="77777777" w:rsidR="006E7019" w:rsidRPr="00C83063" w:rsidRDefault="006E7019" w:rsidP="008114E8">
      <w:pPr>
        <w:spacing w:before="240" w:after="240" w:line="259" w:lineRule="auto"/>
        <w:rPr>
          <w:rFonts w:ascii="Arial" w:hAnsi="Arial" w:cs="Arial"/>
          <w:sz w:val="24"/>
          <w:szCs w:val="24"/>
          <w:lang w:val="en" w:eastAsia="en-GB"/>
        </w:rPr>
      </w:pPr>
    </w:p>
    <w:p w14:paraId="066180FA" w14:textId="3B3BDE71" w:rsidR="008A67FA" w:rsidRPr="00FE67B0" w:rsidRDefault="008A67FA" w:rsidP="002A7FCB">
      <w:pPr>
        <w:pStyle w:val="Heading1"/>
        <w:spacing w:before="240" w:after="240" w:line="259" w:lineRule="auto"/>
        <w:rPr>
          <w:rFonts w:eastAsia="Calibri" w:cs="Arial"/>
          <w:szCs w:val="24"/>
        </w:rPr>
      </w:pPr>
      <w:r>
        <w:t xml:space="preserve">Atodiad 1: </w:t>
      </w:r>
    </w:p>
    <w:p w14:paraId="5A84A8FA" w14:textId="77777777" w:rsidR="00D74DF0" w:rsidRPr="00FE67B0" w:rsidRDefault="00D74DF0" w:rsidP="00D74DF0">
      <w:pPr>
        <w:rPr>
          <w:rFonts w:ascii="Arial" w:hAnsi="Arial" w:cs="Arial"/>
          <w:b/>
          <w:sz w:val="24"/>
          <w:szCs w:val="24"/>
        </w:rPr>
      </w:pPr>
    </w:p>
    <w:p w14:paraId="2E535810" w14:textId="396F8B82" w:rsidR="00D74DF0" w:rsidRPr="00C83063" w:rsidRDefault="006E2A93" w:rsidP="00116281">
      <w:pPr>
        <w:pStyle w:val="Heading3"/>
        <w:rPr>
          <w:sz w:val="24"/>
          <w:szCs w:val="24"/>
        </w:rPr>
      </w:pPr>
      <w:r>
        <w:rPr>
          <w:sz w:val="24"/>
        </w:rPr>
        <w:t>Tabl 1: Cyfraddau preswyl uwch y Dreth Trafodiadau Tir (o 11 Rhagfyr 2024 ymlaen)</w:t>
      </w:r>
    </w:p>
    <w:tbl>
      <w:tblPr>
        <w:tblW w:w="8221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2447"/>
      </w:tblGrid>
      <w:tr w:rsidR="00D74DF0" w:rsidRPr="00FE67B0" w14:paraId="3FFA7D47" w14:textId="77777777" w:rsidTr="006E2A93">
        <w:trPr>
          <w:trHeight w:val="300"/>
        </w:trPr>
        <w:tc>
          <w:tcPr>
            <w:tcW w:w="5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61E1A" w14:textId="77777777" w:rsidR="00D74DF0" w:rsidRPr="00FE67B0" w:rsidRDefault="00D74DF0" w:rsidP="00D30EB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D9F71" w14:textId="77777777" w:rsidR="00D74DF0" w:rsidRPr="00FE67B0" w:rsidRDefault="00D74DF0" w:rsidP="00D30EB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D74DF0" w:rsidRPr="00FE67B0" w14:paraId="5E4D0E35" w14:textId="77777777" w:rsidTr="006E2A93">
        <w:trPr>
          <w:trHeight w:val="410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4F4B9" w14:textId="77777777" w:rsidR="00D74DF0" w:rsidRPr="00FE67B0" w:rsidRDefault="00D74DF0" w:rsidP="00D30E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Cyfraddau Preswyl Uwch o 11 Rhagfyr 2024 ymlaen</w:t>
            </w:r>
          </w:p>
        </w:tc>
      </w:tr>
      <w:tr w:rsidR="00D74DF0" w:rsidRPr="00FE67B0" w14:paraId="19999378" w14:textId="77777777" w:rsidTr="006E2A93">
        <w:trPr>
          <w:trHeight w:val="549"/>
        </w:trPr>
        <w:tc>
          <w:tcPr>
            <w:tcW w:w="5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6FF83" w14:textId="77777777" w:rsidR="00D74DF0" w:rsidRPr="00FE67B0" w:rsidRDefault="00D74DF0" w:rsidP="00D30E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C2532E2" w14:textId="77777777" w:rsidR="00D74DF0" w:rsidRPr="00FE67B0" w:rsidRDefault="00D74DF0" w:rsidP="00D30E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Band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DF053" w14:textId="77777777" w:rsidR="00D74DF0" w:rsidRPr="00FE67B0" w:rsidRDefault="00D74DF0" w:rsidP="00D30E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Cyfradd</w:t>
            </w:r>
          </w:p>
        </w:tc>
      </w:tr>
      <w:tr w:rsidR="00D74DF0" w:rsidRPr="00FE67B0" w14:paraId="132F9281" w14:textId="77777777" w:rsidTr="006E2A93">
        <w:trPr>
          <w:trHeight w:val="709"/>
        </w:trPr>
        <w:tc>
          <w:tcPr>
            <w:tcW w:w="5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B2AFA" w14:textId="77777777" w:rsidR="00D74DF0" w:rsidRPr="00FE67B0" w:rsidRDefault="00D74DF0" w:rsidP="00D3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Y gyfran hyd at a chan gynnwys £180,000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C7E21" w14:textId="77777777" w:rsidR="00D74DF0" w:rsidRPr="00FE67B0" w:rsidRDefault="00D74DF0" w:rsidP="00D30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5%</w:t>
            </w:r>
          </w:p>
        </w:tc>
      </w:tr>
      <w:tr w:rsidR="00D74DF0" w:rsidRPr="00FE67B0" w14:paraId="1F738691" w14:textId="77777777" w:rsidTr="006E2A93">
        <w:trPr>
          <w:trHeight w:val="733"/>
        </w:trPr>
        <w:tc>
          <w:tcPr>
            <w:tcW w:w="5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42287" w14:textId="77777777" w:rsidR="00D74DF0" w:rsidRPr="00FE67B0" w:rsidRDefault="00D74DF0" w:rsidP="00D3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Y gyfran dros £180,000 hyd at a chan gynnwys £250,000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D4958" w14:textId="77777777" w:rsidR="00D74DF0" w:rsidRPr="00FE67B0" w:rsidRDefault="00D74DF0" w:rsidP="00D30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8.50%</w:t>
            </w:r>
          </w:p>
        </w:tc>
      </w:tr>
      <w:tr w:rsidR="00D74DF0" w:rsidRPr="00FE67B0" w14:paraId="38D34757" w14:textId="77777777" w:rsidTr="006E2A93">
        <w:trPr>
          <w:trHeight w:val="756"/>
        </w:trPr>
        <w:tc>
          <w:tcPr>
            <w:tcW w:w="5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E3B19" w14:textId="77777777" w:rsidR="00D74DF0" w:rsidRPr="00FE67B0" w:rsidRDefault="00D74DF0" w:rsidP="00D3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Y gyfran dros £250,000 hyd at a chan gynnwys £400,000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E006F" w14:textId="77777777" w:rsidR="00D74DF0" w:rsidRPr="00FE67B0" w:rsidRDefault="00D74DF0" w:rsidP="00D30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10%</w:t>
            </w:r>
          </w:p>
        </w:tc>
      </w:tr>
      <w:tr w:rsidR="00D74DF0" w:rsidRPr="00FE67B0" w14:paraId="64C49978" w14:textId="77777777" w:rsidTr="006E2A93">
        <w:trPr>
          <w:trHeight w:val="722"/>
        </w:trPr>
        <w:tc>
          <w:tcPr>
            <w:tcW w:w="5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4A41B" w14:textId="77777777" w:rsidR="00D74DF0" w:rsidRPr="00FE67B0" w:rsidRDefault="00D74DF0" w:rsidP="00D3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Y gyfran dros £400,000 hyd at a chan gynnwys £750,000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86EEE" w14:textId="77777777" w:rsidR="00D74DF0" w:rsidRPr="00FE67B0" w:rsidRDefault="00D74DF0" w:rsidP="00D30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12.50%</w:t>
            </w:r>
          </w:p>
        </w:tc>
      </w:tr>
      <w:tr w:rsidR="00D74DF0" w:rsidRPr="00FE67B0" w14:paraId="13091B75" w14:textId="77777777" w:rsidTr="006E2A93">
        <w:trPr>
          <w:trHeight w:val="750"/>
        </w:trPr>
        <w:tc>
          <w:tcPr>
            <w:tcW w:w="5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077D8" w14:textId="77777777" w:rsidR="00D74DF0" w:rsidRPr="00FE67B0" w:rsidRDefault="00D74DF0" w:rsidP="00D3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Y gyfran dros £750,000 hyd at a chan gynnwys £1,500,000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27ED8" w14:textId="77777777" w:rsidR="00D74DF0" w:rsidRPr="00FE67B0" w:rsidRDefault="00D74DF0" w:rsidP="00D30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15%</w:t>
            </w:r>
          </w:p>
        </w:tc>
      </w:tr>
      <w:tr w:rsidR="00D74DF0" w:rsidRPr="00FE67B0" w14:paraId="0E1ACA06" w14:textId="77777777" w:rsidTr="006E2A93">
        <w:trPr>
          <w:trHeight w:val="646"/>
        </w:trPr>
        <w:tc>
          <w:tcPr>
            <w:tcW w:w="57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F1C10" w14:textId="77777777" w:rsidR="00D74DF0" w:rsidRPr="00FE67B0" w:rsidRDefault="00D74DF0" w:rsidP="00D3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Y gyfran dros £1,500,000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4735F" w14:textId="77777777" w:rsidR="00D74DF0" w:rsidRPr="00FE67B0" w:rsidRDefault="00D74DF0" w:rsidP="00D30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17%</w:t>
            </w:r>
          </w:p>
        </w:tc>
      </w:tr>
    </w:tbl>
    <w:p w14:paraId="34C4F8BC" w14:textId="77777777" w:rsidR="00D74DF0" w:rsidRPr="00C83063" w:rsidRDefault="00D74DF0" w:rsidP="00D74DF0">
      <w:pPr>
        <w:rPr>
          <w:rFonts w:ascii="Arial" w:hAnsi="Arial" w:cs="Arial"/>
          <w:sz w:val="24"/>
          <w:szCs w:val="24"/>
          <w:lang w:eastAsia="en-GB"/>
        </w:rPr>
      </w:pPr>
    </w:p>
    <w:p w14:paraId="4C531135" w14:textId="77777777" w:rsidR="008A67FA" w:rsidRPr="00C83063" w:rsidRDefault="008A67FA" w:rsidP="002A7FCB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240" w:after="24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08BDC6C" w14:textId="77777777" w:rsidR="006E2A93" w:rsidRPr="00FE67B0" w:rsidRDefault="006E2A93">
      <w:pPr>
        <w:rPr>
          <w:rFonts w:ascii="Arial" w:eastAsia="Calibri" w:hAnsi="Arial" w:cs="Arial"/>
          <w:b/>
          <w:sz w:val="24"/>
          <w:szCs w:val="24"/>
        </w:rPr>
      </w:pPr>
      <w:r>
        <w:br w:type="page"/>
      </w:r>
    </w:p>
    <w:p w14:paraId="7407F1EE" w14:textId="5C75DC28" w:rsidR="00D03B3E" w:rsidRPr="00FE67B0" w:rsidRDefault="00D03B3E" w:rsidP="00D03B3E">
      <w:pPr>
        <w:pStyle w:val="Heading1"/>
        <w:spacing w:before="240" w:after="240" w:line="259" w:lineRule="auto"/>
        <w:rPr>
          <w:rFonts w:eastAsia="Calibri" w:cs="Arial"/>
          <w:szCs w:val="24"/>
        </w:rPr>
      </w:pPr>
      <w:r>
        <w:lastRenderedPageBreak/>
        <w:t xml:space="preserve">Atodiad 2: </w:t>
      </w:r>
    </w:p>
    <w:p w14:paraId="624B5874" w14:textId="77777777" w:rsidR="00D74DF0" w:rsidRPr="00C83063" w:rsidRDefault="00D74DF0" w:rsidP="00D74DF0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240" w:after="24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F8D523F" w14:textId="32B48989" w:rsidR="00D74DF0" w:rsidRPr="00C83063" w:rsidRDefault="00D74DF0" w:rsidP="00D74DF0">
      <w:pPr>
        <w:pStyle w:val="Heading3"/>
        <w:rPr>
          <w:sz w:val="24"/>
          <w:szCs w:val="24"/>
        </w:rPr>
      </w:pPr>
      <w:r>
        <w:rPr>
          <w:sz w:val="24"/>
        </w:rPr>
        <w:t>Tabl 2: Cyfraddau'r Dreth Gwarediadau Tirlenwi (cyfradd fesul tunnell)</w:t>
      </w:r>
    </w:p>
    <w:p w14:paraId="6B99419B" w14:textId="77777777" w:rsidR="00D74DF0" w:rsidRPr="00C83063" w:rsidRDefault="00D74DF0" w:rsidP="00D74DF0">
      <w:pPr>
        <w:rPr>
          <w:rFonts w:ascii="Arial" w:hAnsi="Arial" w:cs="Arial"/>
          <w:sz w:val="24"/>
          <w:szCs w:val="24"/>
        </w:rPr>
      </w:pPr>
    </w:p>
    <w:tbl>
      <w:tblPr>
        <w:tblW w:w="8156" w:type="dxa"/>
        <w:tblInd w:w="5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91"/>
        <w:gridCol w:w="2055"/>
        <w:gridCol w:w="2055"/>
        <w:gridCol w:w="2055"/>
      </w:tblGrid>
      <w:tr w:rsidR="00D74DF0" w:rsidRPr="00FE67B0" w14:paraId="1BD692DD" w14:textId="77777777" w:rsidTr="006E2A93">
        <w:trPr>
          <w:trHeight w:val="305"/>
        </w:trPr>
        <w:tc>
          <w:tcPr>
            <w:tcW w:w="1985" w:type="dxa"/>
            <w:vAlign w:val="center"/>
          </w:tcPr>
          <w:p w14:paraId="7176C7EC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Cyfradd</w:t>
            </w:r>
          </w:p>
        </w:tc>
        <w:tc>
          <w:tcPr>
            <w:tcW w:w="2057" w:type="dxa"/>
          </w:tcPr>
          <w:p w14:paraId="74E0A93C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O 1 Ebrill 2023 ymlaen</w:t>
            </w:r>
          </w:p>
        </w:tc>
        <w:tc>
          <w:tcPr>
            <w:tcW w:w="2057" w:type="dxa"/>
          </w:tcPr>
          <w:p w14:paraId="69C9506A" w14:textId="77777777" w:rsidR="00D74DF0" w:rsidRPr="00FE67B0" w:rsidDel="00163D85" w:rsidRDefault="00D74DF0" w:rsidP="00D30EBE">
            <w:pPr>
              <w:pStyle w:val="Heading3"/>
              <w:keepNext w:val="0"/>
              <w:spacing w:before="480" w:after="240" w:line="259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O 1 Ebrill 2024 ymlaen</w:t>
            </w:r>
          </w:p>
        </w:tc>
        <w:tc>
          <w:tcPr>
            <w:tcW w:w="2057" w:type="dxa"/>
          </w:tcPr>
          <w:p w14:paraId="6B1EE8D1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O 1 Ebrill 2025 ymlaen</w:t>
            </w:r>
          </w:p>
        </w:tc>
      </w:tr>
      <w:tr w:rsidR="00D74DF0" w:rsidRPr="00FE67B0" w14:paraId="7E2C163C" w14:textId="77777777" w:rsidTr="006E2A93">
        <w:trPr>
          <w:trHeight w:val="305"/>
        </w:trPr>
        <w:tc>
          <w:tcPr>
            <w:tcW w:w="1985" w:type="dxa"/>
            <w:vAlign w:val="center"/>
          </w:tcPr>
          <w:p w14:paraId="11CCE25C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jc w:val="both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>Safonol</w:t>
            </w:r>
          </w:p>
        </w:tc>
        <w:tc>
          <w:tcPr>
            <w:tcW w:w="2057" w:type="dxa"/>
          </w:tcPr>
          <w:p w14:paraId="7C148E21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jc w:val="righ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  £102.10</w:t>
            </w:r>
          </w:p>
        </w:tc>
        <w:tc>
          <w:tcPr>
            <w:tcW w:w="2057" w:type="dxa"/>
          </w:tcPr>
          <w:p w14:paraId="3B9D765C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jc w:val="righ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>£103.70</w:t>
            </w:r>
          </w:p>
        </w:tc>
        <w:tc>
          <w:tcPr>
            <w:tcW w:w="2057" w:type="dxa"/>
          </w:tcPr>
          <w:p w14:paraId="22D27054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jc w:val="righ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>£126.15</w:t>
            </w:r>
          </w:p>
        </w:tc>
      </w:tr>
      <w:tr w:rsidR="00D74DF0" w:rsidRPr="00FE67B0" w14:paraId="70782F1F" w14:textId="77777777" w:rsidTr="006E2A93">
        <w:trPr>
          <w:trHeight w:val="305"/>
        </w:trPr>
        <w:tc>
          <w:tcPr>
            <w:tcW w:w="1985" w:type="dxa"/>
            <w:vAlign w:val="center"/>
          </w:tcPr>
          <w:p w14:paraId="7C5E0630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jc w:val="both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>Is</w:t>
            </w:r>
          </w:p>
        </w:tc>
        <w:tc>
          <w:tcPr>
            <w:tcW w:w="2057" w:type="dxa"/>
          </w:tcPr>
          <w:p w14:paraId="3E204C29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jc w:val="righ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    £3.25</w:t>
            </w:r>
          </w:p>
        </w:tc>
        <w:tc>
          <w:tcPr>
            <w:tcW w:w="2057" w:type="dxa"/>
          </w:tcPr>
          <w:p w14:paraId="781689F2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jc w:val="righ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>£3.30</w:t>
            </w:r>
          </w:p>
        </w:tc>
        <w:tc>
          <w:tcPr>
            <w:tcW w:w="2057" w:type="dxa"/>
          </w:tcPr>
          <w:p w14:paraId="13B70CF1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jc w:val="righ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>£6.30</w:t>
            </w:r>
          </w:p>
        </w:tc>
      </w:tr>
      <w:tr w:rsidR="00D74DF0" w:rsidRPr="00FE67B0" w14:paraId="1138BA46" w14:textId="77777777" w:rsidTr="006E2A93">
        <w:trPr>
          <w:trHeight w:val="305"/>
        </w:trPr>
        <w:tc>
          <w:tcPr>
            <w:tcW w:w="1985" w:type="dxa"/>
            <w:vAlign w:val="center"/>
          </w:tcPr>
          <w:p w14:paraId="4DB4B398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jc w:val="both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>Gwarediadau anawdurdodedig</w:t>
            </w:r>
          </w:p>
        </w:tc>
        <w:tc>
          <w:tcPr>
            <w:tcW w:w="2057" w:type="dxa"/>
          </w:tcPr>
          <w:p w14:paraId="285AA776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jc w:val="righ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>£153.15</w:t>
            </w:r>
          </w:p>
        </w:tc>
        <w:tc>
          <w:tcPr>
            <w:tcW w:w="2057" w:type="dxa"/>
          </w:tcPr>
          <w:p w14:paraId="38D71A28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jc w:val="righ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>£155.55</w:t>
            </w:r>
          </w:p>
        </w:tc>
        <w:tc>
          <w:tcPr>
            <w:tcW w:w="2057" w:type="dxa"/>
          </w:tcPr>
          <w:p w14:paraId="2F134487" w14:textId="77777777" w:rsidR="00D74DF0" w:rsidRPr="00FE67B0" w:rsidRDefault="00D74DF0" w:rsidP="00D30EBE">
            <w:pPr>
              <w:pStyle w:val="Heading3"/>
              <w:keepNext w:val="0"/>
              <w:spacing w:before="480" w:after="240" w:line="259" w:lineRule="auto"/>
              <w:jc w:val="right"/>
              <w:rPr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</w:rPr>
              <w:t>£189.25</w:t>
            </w:r>
          </w:p>
        </w:tc>
      </w:tr>
    </w:tbl>
    <w:p w14:paraId="484ED0FE" w14:textId="77777777" w:rsidR="00D74DF0" w:rsidRPr="00FE67B0" w:rsidRDefault="00D74DF0" w:rsidP="00D74DF0">
      <w:pPr>
        <w:rPr>
          <w:rFonts w:ascii="Arial" w:hAnsi="Arial" w:cs="Arial"/>
          <w:b/>
          <w:sz w:val="24"/>
          <w:szCs w:val="24"/>
        </w:rPr>
      </w:pPr>
    </w:p>
    <w:sectPr w:rsidR="00D74DF0" w:rsidRPr="00FE67B0" w:rsidSect="002B1EF4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4A78F" w14:textId="77777777" w:rsidR="007610E7" w:rsidRDefault="007610E7">
      <w:r>
        <w:separator/>
      </w:r>
    </w:p>
  </w:endnote>
  <w:endnote w:type="continuationSeparator" w:id="0">
    <w:p w14:paraId="086DA09D" w14:textId="77777777" w:rsidR="007610E7" w:rsidRDefault="007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41BD" w14:textId="77777777" w:rsidR="00985AF6" w:rsidRDefault="00985AF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50AED2" w14:textId="77777777" w:rsidR="00985AF6" w:rsidRDefault="00985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B0173" w14:textId="6822A92D" w:rsidR="00985AF6" w:rsidRDefault="00985AF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806">
      <w:rPr>
        <w:rStyle w:val="PageNumber"/>
      </w:rPr>
      <w:t>4</w:t>
    </w:r>
    <w:r>
      <w:rPr>
        <w:rStyle w:val="PageNumber"/>
      </w:rPr>
      <w:fldChar w:fldCharType="end"/>
    </w:r>
  </w:p>
  <w:p w14:paraId="239362A9" w14:textId="77777777" w:rsidR="00985AF6" w:rsidRDefault="00985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222D0" w14:textId="5F420DF6" w:rsidR="00985AF6" w:rsidRPr="005D2A41" w:rsidRDefault="00985AF6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561806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71AE85B0" w14:textId="77777777" w:rsidR="00985AF6" w:rsidRPr="00A845A9" w:rsidRDefault="00985AF6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43A99" w14:textId="77777777" w:rsidR="007610E7" w:rsidRDefault="007610E7">
      <w:r>
        <w:separator/>
      </w:r>
    </w:p>
  </w:footnote>
  <w:footnote w:type="continuationSeparator" w:id="0">
    <w:p w14:paraId="5A2C3525" w14:textId="77777777" w:rsidR="007610E7" w:rsidRDefault="0076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41637" w14:textId="77777777" w:rsidR="00985AF6" w:rsidRDefault="00985AF6">
    <w:r>
      <w:rPr>
        <w:noProof/>
      </w:rPr>
      <w:drawing>
        <wp:anchor distT="0" distB="0" distL="114300" distR="114300" simplePos="0" relativeHeight="251657728" behindDoc="1" locked="0" layoutInCell="1" allowOverlap="1" wp14:anchorId="30E65BE1" wp14:editId="105F92A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52D7F" w14:textId="77777777" w:rsidR="00985AF6" w:rsidRDefault="00985AF6">
    <w:pPr>
      <w:pStyle w:val="Header"/>
    </w:pPr>
  </w:p>
  <w:p w14:paraId="6DBF422B" w14:textId="77777777" w:rsidR="00985AF6" w:rsidRDefault="00985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B5BD4"/>
    <w:multiLevelType w:val="multilevel"/>
    <w:tmpl w:val="BB6A8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55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786479"/>
    <w:multiLevelType w:val="hybridMultilevel"/>
    <w:tmpl w:val="76AC04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F129D3"/>
    <w:multiLevelType w:val="hybridMultilevel"/>
    <w:tmpl w:val="03C28F14"/>
    <w:lvl w:ilvl="0" w:tplc="E2429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3644F"/>
    <w:multiLevelType w:val="hybridMultilevel"/>
    <w:tmpl w:val="19A8B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25F5F"/>
    <w:multiLevelType w:val="hybridMultilevel"/>
    <w:tmpl w:val="B6904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14C6E"/>
    <w:multiLevelType w:val="hybridMultilevel"/>
    <w:tmpl w:val="A2D8CB26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 w15:restartNumberingAfterBreak="0">
    <w:nsid w:val="7744503E"/>
    <w:multiLevelType w:val="hybridMultilevel"/>
    <w:tmpl w:val="19A8B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097613">
    <w:abstractNumId w:val="1"/>
  </w:num>
  <w:num w:numId="2" w16cid:durableId="1543782391">
    <w:abstractNumId w:val="6"/>
  </w:num>
  <w:num w:numId="3" w16cid:durableId="600186918">
    <w:abstractNumId w:val="0"/>
  </w:num>
  <w:num w:numId="4" w16cid:durableId="1535539817">
    <w:abstractNumId w:val="3"/>
  </w:num>
  <w:num w:numId="5" w16cid:durableId="241570984">
    <w:abstractNumId w:val="2"/>
  </w:num>
  <w:num w:numId="6" w16cid:durableId="16744916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422178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9886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0DBF"/>
    <w:rsid w:val="000039F3"/>
    <w:rsid w:val="000059F9"/>
    <w:rsid w:val="0000710B"/>
    <w:rsid w:val="00016D37"/>
    <w:rsid w:val="000201EA"/>
    <w:rsid w:val="00023B69"/>
    <w:rsid w:val="00023F61"/>
    <w:rsid w:val="00033BE6"/>
    <w:rsid w:val="0003459E"/>
    <w:rsid w:val="000454AB"/>
    <w:rsid w:val="00050516"/>
    <w:rsid w:val="00050F1F"/>
    <w:rsid w:val="000516D9"/>
    <w:rsid w:val="00054AE3"/>
    <w:rsid w:val="00061E37"/>
    <w:rsid w:val="0006774B"/>
    <w:rsid w:val="00081440"/>
    <w:rsid w:val="00082B81"/>
    <w:rsid w:val="00084110"/>
    <w:rsid w:val="0008708F"/>
    <w:rsid w:val="000879A9"/>
    <w:rsid w:val="00090C3D"/>
    <w:rsid w:val="00097118"/>
    <w:rsid w:val="000A5B45"/>
    <w:rsid w:val="000A5D6A"/>
    <w:rsid w:val="000B041E"/>
    <w:rsid w:val="000C3A52"/>
    <w:rsid w:val="000C53DB"/>
    <w:rsid w:val="000C5E9B"/>
    <w:rsid w:val="000C6E3F"/>
    <w:rsid w:val="000D48A2"/>
    <w:rsid w:val="000D5556"/>
    <w:rsid w:val="000E3FA4"/>
    <w:rsid w:val="000E42A5"/>
    <w:rsid w:val="000F7F59"/>
    <w:rsid w:val="00105C2B"/>
    <w:rsid w:val="00116281"/>
    <w:rsid w:val="00125111"/>
    <w:rsid w:val="0013454E"/>
    <w:rsid w:val="00134918"/>
    <w:rsid w:val="001378AC"/>
    <w:rsid w:val="00145CF4"/>
    <w:rsid w:val="001460B1"/>
    <w:rsid w:val="00161C5E"/>
    <w:rsid w:val="00165398"/>
    <w:rsid w:val="001656C2"/>
    <w:rsid w:val="001674BE"/>
    <w:rsid w:val="0017102C"/>
    <w:rsid w:val="001723B1"/>
    <w:rsid w:val="001A39E2"/>
    <w:rsid w:val="001A3C12"/>
    <w:rsid w:val="001A6771"/>
    <w:rsid w:val="001A6AF1"/>
    <w:rsid w:val="001B027C"/>
    <w:rsid w:val="001B288D"/>
    <w:rsid w:val="001B3124"/>
    <w:rsid w:val="001C532F"/>
    <w:rsid w:val="001D4C02"/>
    <w:rsid w:val="001D4EAC"/>
    <w:rsid w:val="001D574A"/>
    <w:rsid w:val="001E53BF"/>
    <w:rsid w:val="001F7662"/>
    <w:rsid w:val="0020525E"/>
    <w:rsid w:val="0020705F"/>
    <w:rsid w:val="002108B8"/>
    <w:rsid w:val="00211485"/>
    <w:rsid w:val="002146AF"/>
    <w:rsid w:val="00214B25"/>
    <w:rsid w:val="00223D26"/>
    <w:rsid w:val="00223E62"/>
    <w:rsid w:val="00230FE3"/>
    <w:rsid w:val="00241390"/>
    <w:rsid w:val="00250631"/>
    <w:rsid w:val="00263CE9"/>
    <w:rsid w:val="00274A5B"/>
    <w:rsid w:val="00274F08"/>
    <w:rsid w:val="0027540E"/>
    <w:rsid w:val="00282441"/>
    <w:rsid w:val="00291C5D"/>
    <w:rsid w:val="00291FF3"/>
    <w:rsid w:val="002A0AE5"/>
    <w:rsid w:val="002A5310"/>
    <w:rsid w:val="002A6A1C"/>
    <w:rsid w:val="002A7FCB"/>
    <w:rsid w:val="002B0E76"/>
    <w:rsid w:val="002B1EF4"/>
    <w:rsid w:val="002B288F"/>
    <w:rsid w:val="002B61CA"/>
    <w:rsid w:val="002C3179"/>
    <w:rsid w:val="002C57B6"/>
    <w:rsid w:val="002D70DB"/>
    <w:rsid w:val="002D73E3"/>
    <w:rsid w:val="002E3B8C"/>
    <w:rsid w:val="002F0EB9"/>
    <w:rsid w:val="002F4453"/>
    <w:rsid w:val="002F53A9"/>
    <w:rsid w:val="00302CF8"/>
    <w:rsid w:val="00314E36"/>
    <w:rsid w:val="003220C1"/>
    <w:rsid w:val="00326B2A"/>
    <w:rsid w:val="003322E8"/>
    <w:rsid w:val="0033388F"/>
    <w:rsid w:val="00334278"/>
    <w:rsid w:val="00343699"/>
    <w:rsid w:val="00356D7B"/>
    <w:rsid w:val="0035756B"/>
    <w:rsid w:val="00357893"/>
    <w:rsid w:val="003670C1"/>
    <w:rsid w:val="00370471"/>
    <w:rsid w:val="00373E32"/>
    <w:rsid w:val="003746F4"/>
    <w:rsid w:val="00381C3F"/>
    <w:rsid w:val="003824A4"/>
    <w:rsid w:val="00386DDF"/>
    <w:rsid w:val="00391B51"/>
    <w:rsid w:val="003A0009"/>
    <w:rsid w:val="003A7892"/>
    <w:rsid w:val="003B1503"/>
    <w:rsid w:val="003B3D64"/>
    <w:rsid w:val="003B4752"/>
    <w:rsid w:val="003C3406"/>
    <w:rsid w:val="003C3E57"/>
    <w:rsid w:val="003C5133"/>
    <w:rsid w:val="003D4F22"/>
    <w:rsid w:val="003E2F8E"/>
    <w:rsid w:val="00412673"/>
    <w:rsid w:val="0041407E"/>
    <w:rsid w:val="004240D6"/>
    <w:rsid w:val="0043031D"/>
    <w:rsid w:val="00432922"/>
    <w:rsid w:val="00435D7A"/>
    <w:rsid w:val="00443EA6"/>
    <w:rsid w:val="00445F0F"/>
    <w:rsid w:val="0046757C"/>
    <w:rsid w:val="0047329B"/>
    <w:rsid w:val="00475DAB"/>
    <w:rsid w:val="00483D2B"/>
    <w:rsid w:val="00497649"/>
    <w:rsid w:val="004A1627"/>
    <w:rsid w:val="004A1C2D"/>
    <w:rsid w:val="004B2B96"/>
    <w:rsid w:val="004B7C5F"/>
    <w:rsid w:val="004C5113"/>
    <w:rsid w:val="004C70FB"/>
    <w:rsid w:val="005006D2"/>
    <w:rsid w:val="00501D1A"/>
    <w:rsid w:val="00507B72"/>
    <w:rsid w:val="0052454D"/>
    <w:rsid w:val="00524D72"/>
    <w:rsid w:val="0053202B"/>
    <w:rsid w:val="00533223"/>
    <w:rsid w:val="00536F27"/>
    <w:rsid w:val="00552DB8"/>
    <w:rsid w:val="00560F1F"/>
    <w:rsid w:val="00561806"/>
    <w:rsid w:val="00572401"/>
    <w:rsid w:val="0057240F"/>
    <w:rsid w:val="00574BB3"/>
    <w:rsid w:val="00590E4A"/>
    <w:rsid w:val="005A043A"/>
    <w:rsid w:val="005A22E2"/>
    <w:rsid w:val="005B030B"/>
    <w:rsid w:val="005B7C0D"/>
    <w:rsid w:val="005C393B"/>
    <w:rsid w:val="005C6D6C"/>
    <w:rsid w:val="005D2A41"/>
    <w:rsid w:val="005D2D74"/>
    <w:rsid w:val="005D7663"/>
    <w:rsid w:val="005E23DC"/>
    <w:rsid w:val="005E246E"/>
    <w:rsid w:val="005E2483"/>
    <w:rsid w:val="005E7F28"/>
    <w:rsid w:val="005F1659"/>
    <w:rsid w:val="00602F50"/>
    <w:rsid w:val="00603548"/>
    <w:rsid w:val="00613544"/>
    <w:rsid w:val="006306D9"/>
    <w:rsid w:val="00631C8E"/>
    <w:rsid w:val="00633B8D"/>
    <w:rsid w:val="00653D9A"/>
    <w:rsid w:val="00654C0A"/>
    <w:rsid w:val="00654D70"/>
    <w:rsid w:val="00656B2E"/>
    <w:rsid w:val="006604D9"/>
    <w:rsid w:val="006625BC"/>
    <w:rsid w:val="006633C7"/>
    <w:rsid w:val="00663F04"/>
    <w:rsid w:val="00670227"/>
    <w:rsid w:val="0067231C"/>
    <w:rsid w:val="006776DF"/>
    <w:rsid w:val="006814BD"/>
    <w:rsid w:val="0069133F"/>
    <w:rsid w:val="00697739"/>
    <w:rsid w:val="006B340E"/>
    <w:rsid w:val="006B461D"/>
    <w:rsid w:val="006C3822"/>
    <w:rsid w:val="006D0E07"/>
    <w:rsid w:val="006D77AB"/>
    <w:rsid w:val="006E0A2C"/>
    <w:rsid w:val="006E2A93"/>
    <w:rsid w:val="006E6469"/>
    <w:rsid w:val="006E7019"/>
    <w:rsid w:val="006F7CA9"/>
    <w:rsid w:val="00703993"/>
    <w:rsid w:val="00705E56"/>
    <w:rsid w:val="00714B68"/>
    <w:rsid w:val="00717775"/>
    <w:rsid w:val="00717E2A"/>
    <w:rsid w:val="0072632E"/>
    <w:rsid w:val="00731484"/>
    <w:rsid w:val="007328BD"/>
    <w:rsid w:val="0073380E"/>
    <w:rsid w:val="007367C9"/>
    <w:rsid w:val="00743B79"/>
    <w:rsid w:val="00744622"/>
    <w:rsid w:val="007523BC"/>
    <w:rsid w:val="00752C48"/>
    <w:rsid w:val="007610E7"/>
    <w:rsid w:val="00774700"/>
    <w:rsid w:val="007800C8"/>
    <w:rsid w:val="007831A5"/>
    <w:rsid w:val="00783759"/>
    <w:rsid w:val="00795818"/>
    <w:rsid w:val="007958E9"/>
    <w:rsid w:val="007A05FB"/>
    <w:rsid w:val="007A5AA4"/>
    <w:rsid w:val="007B2C08"/>
    <w:rsid w:val="007B5260"/>
    <w:rsid w:val="007C24E7"/>
    <w:rsid w:val="007C382F"/>
    <w:rsid w:val="007C4AF8"/>
    <w:rsid w:val="007D1318"/>
    <w:rsid w:val="007D1402"/>
    <w:rsid w:val="007D1DAE"/>
    <w:rsid w:val="007E10D8"/>
    <w:rsid w:val="007E27E1"/>
    <w:rsid w:val="007F0548"/>
    <w:rsid w:val="007F35B0"/>
    <w:rsid w:val="007F5E64"/>
    <w:rsid w:val="00800FA0"/>
    <w:rsid w:val="00801130"/>
    <w:rsid w:val="00804C6A"/>
    <w:rsid w:val="0080585A"/>
    <w:rsid w:val="008114E8"/>
    <w:rsid w:val="00812370"/>
    <w:rsid w:val="0082261C"/>
    <w:rsid w:val="0082411A"/>
    <w:rsid w:val="0083535F"/>
    <w:rsid w:val="00835800"/>
    <w:rsid w:val="00835A2A"/>
    <w:rsid w:val="00841628"/>
    <w:rsid w:val="0084287D"/>
    <w:rsid w:val="00846160"/>
    <w:rsid w:val="0085545B"/>
    <w:rsid w:val="00863A07"/>
    <w:rsid w:val="00864E5B"/>
    <w:rsid w:val="00873530"/>
    <w:rsid w:val="008735A4"/>
    <w:rsid w:val="008769FD"/>
    <w:rsid w:val="00877BD2"/>
    <w:rsid w:val="008846C3"/>
    <w:rsid w:val="008A47EC"/>
    <w:rsid w:val="008A67FA"/>
    <w:rsid w:val="008A77D8"/>
    <w:rsid w:val="008B0B18"/>
    <w:rsid w:val="008B2962"/>
    <w:rsid w:val="008B7927"/>
    <w:rsid w:val="008C5AEF"/>
    <w:rsid w:val="008C74BB"/>
    <w:rsid w:val="008D166E"/>
    <w:rsid w:val="008D1E0B"/>
    <w:rsid w:val="008D2162"/>
    <w:rsid w:val="008D6455"/>
    <w:rsid w:val="008D6FEF"/>
    <w:rsid w:val="008E0F55"/>
    <w:rsid w:val="008F0CC6"/>
    <w:rsid w:val="008F39FD"/>
    <w:rsid w:val="008F6FE5"/>
    <w:rsid w:val="008F789E"/>
    <w:rsid w:val="00905771"/>
    <w:rsid w:val="009058C8"/>
    <w:rsid w:val="009358DF"/>
    <w:rsid w:val="009365B2"/>
    <w:rsid w:val="00936767"/>
    <w:rsid w:val="009407C2"/>
    <w:rsid w:val="009437CD"/>
    <w:rsid w:val="009449AE"/>
    <w:rsid w:val="00953A46"/>
    <w:rsid w:val="00954577"/>
    <w:rsid w:val="00967473"/>
    <w:rsid w:val="00973090"/>
    <w:rsid w:val="00973D57"/>
    <w:rsid w:val="00985AF6"/>
    <w:rsid w:val="00990955"/>
    <w:rsid w:val="00995A8C"/>
    <w:rsid w:val="00995EEC"/>
    <w:rsid w:val="009B435C"/>
    <w:rsid w:val="009C35D9"/>
    <w:rsid w:val="009C5988"/>
    <w:rsid w:val="009D2542"/>
    <w:rsid w:val="009D26D8"/>
    <w:rsid w:val="009D2D07"/>
    <w:rsid w:val="009E0381"/>
    <w:rsid w:val="009E2532"/>
    <w:rsid w:val="009E4974"/>
    <w:rsid w:val="009F06C3"/>
    <w:rsid w:val="009F13FA"/>
    <w:rsid w:val="009F6B48"/>
    <w:rsid w:val="00A04DF2"/>
    <w:rsid w:val="00A204C9"/>
    <w:rsid w:val="00A23742"/>
    <w:rsid w:val="00A3247B"/>
    <w:rsid w:val="00A35992"/>
    <w:rsid w:val="00A40DB1"/>
    <w:rsid w:val="00A46E88"/>
    <w:rsid w:val="00A50209"/>
    <w:rsid w:val="00A52275"/>
    <w:rsid w:val="00A5596C"/>
    <w:rsid w:val="00A72604"/>
    <w:rsid w:val="00A72CF3"/>
    <w:rsid w:val="00A741F6"/>
    <w:rsid w:val="00A82A45"/>
    <w:rsid w:val="00A845A9"/>
    <w:rsid w:val="00A86102"/>
    <w:rsid w:val="00A86958"/>
    <w:rsid w:val="00A90F53"/>
    <w:rsid w:val="00AA5651"/>
    <w:rsid w:val="00AA5848"/>
    <w:rsid w:val="00AA7750"/>
    <w:rsid w:val="00AA7F24"/>
    <w:rsid w:val="00AC1F73"/>
    <w:rsid w:val="00AC2C94"/>
    <w:rsid w:val="00AC3546"/>
    <w:rsid w:val="00AC50E9"/>
    <w:rsid w:val="00AD29A4"/>
    <w:rsid w:val="00AD65F1"/>
    <w:rsid w:val="00AE064D"/>
    <w:rsid w:val="00AF056B"/>
    <w:rsid w:val="00AF2BD9"/>
    <w:rsid w:val="00B00D0E"/>
    <w:rsid w:val="00B049B1"/>
    <w:rsid w:val="00B21477"/>
    <w:rsid w:val="00B239BA"/>
    <w:rsid w:val="00B356EE"/>
    <w:rsid w:val="00B377C0"/>
    <w:rsid w:val="00B40AB1"/>
    <w:rsid w:val="00B436CC"/>
    <w:rsid w:val="00B45D26"/>
    <w:rsid w:val="00B468BB"/>
    <w:rsid w:val="00B50549"/>
    <w:rsid w:val="00B50DE5"/>
    <w:rsid w:val="00B62B6F"/>
    <w:rsid w:val="00B675D8"/>
    <w:rsid w:val="00B81F17"/>
    <w:rsid w:val="00B909EB"/>
    <w:rsid w:val="00B97D19"/>
    <w:rsid w:val="00BA3864"/>
    <w:rsid w:val="00BA73D9"/>
    <w:rsid w:val="00BB50F2"/>
    <w:rsid w:val="00BB62F1"/>
    <w:rsid w:val="00BB774E"/>
    <w:rsid w:val="00BC465E"/>
    <w:rsid w:val="00BF499D"/>
    <w:rsid w:val="00C000C1"/>
    <w:rsid w:val="00C10602"/>
    <w:rsid w:val="00C156BF"/>
    <w:rsid w:val="00C24B77"/>
    <w:rsid w:val="00C25725"/>
    <w:rsid w:val="00C37553"/>
    <w:rsid w:val="00C43B4A"/>
    <w:rsid w:val="00C4588D"/>
    <w:rsid w:val="00C56851"/>
    <w:rsid w:val="00C64FA5"/>
    <w:rsid w:val="00C71F2B"/>
    <w:rsid w:val="00C8105F"/>
    <w:rsid w:val="00C83063"/>
    <w:rsid w:val="00C83C1E"/>
    <w:rsid w:val="00C84A12"/>
    <w:rsid w:val="00C85C12"/>
    <w:rsid w:val="00C90DAA"/>
    <w:rsid w:val="00C940C2"/>
    <w:rsid w:val="00C945DC"/>
    <w:rsid w:val="00CA3764"/>
    <w:rsid w:val="00CC1122"/>
    <w:rsid w:val="00CC269B"/>
    <w:rsid w:val="00CC6183"/>
    <w:rsid w:val="00CD2B65"/>
    <w:rsid w:val="00CD5796"/>
    <w:rsid w:val="00CE0A3C"/>
    <w:rsid w:val="00CE3D46"/>
    <w:rsid w:val="00CE463B"/>
    <w:rsid w:val="00CF3DC5"/>
    <w:rsid w:val="00D0061E"/>
    <w:rsid w:val="00D017E2"/>
    <w:rsid w:val="00D03B3E"/>
    <w:rsid w:val="00D101DE"/>
    <w:rsid w:val="00D11071"/>
    <w:rsid w:val="00D131F1"/>
    <w:rsid w:val="00D16D97"/>
    <w:rsid w:val="00D206EE"/>
    <w:rsid w:val="00D259E9"/>
    <w:rsid w:val="00D2708F"/>
    <w:rsid w:val="00D27F42"/>
    <w:rsid w:val="00D35578"/>
    <w:rsid w:val="00D51446"/>
    <w:rsid w:val="00D6036F"/>
    <w:rsid w:val="00D701E5"/>
    <w:rsid w:val="00D74DF0"/>
    <w:rsid w:val="00D76B20"/>
    <w:rsid w:val="00D84713"/>
    <w:rsid w:val="00D8639E"/>
    <w:rsid w:val="00D90102"/>
    <w:rsid w:val="00DA185E"/>
    <w:rsid w:val="00DB3135"/>
    <w:rsid w:val="00DB338A"/>
    <w:rsid w:val="00DB63D5"/>
    <w:rsid w:val="00DC4286"/>
    <w:rsid w:val="00DD0C7C"/>
    <w:rsid w:val="00DD4B82"/>
    <w:rsid w:val="00DE2355"/>
    <w:rsid w:val="00DE601E"/>
    <w:rsid w:val="00DF6739"/>
    <w:rsid w:val="00E03C19"/>
    <w:rsid w:val="00E07DF1"/>
    <w:rsid w:val="00E1556F"/>
    <w:rsid w:val="00E17B26"/>
    <w:rsid w:val="00E27612"/>
    <w:rsid w:val="00E27730"/>
    <w:rsid w:val="00E3419E"/>
    <w:rsid w:val="00E374B6"/>
    <w:rsid w:val="00E4396A"/>
    <w:rsid w:val="00E453DC"/>
    <w:rsid w:val="00E47B1A"/>
    <w:rsid w:val="00E631B1"/>
    <w:rsid w:val="00E64381"/>
    <w:rsid w:val="00E76F19"/>
    <w:rsid w:val="00E8426D"/>
    <w:rsid w:val="00E93652"/>
    <w:rsid w:val="00E94703"/>
    <w:rsid w:val="00EA326B"/>
    <w:rsid w:val="00EA5290"/>
    <w:rsid w:val="00EB248F"/>
    <w:rsid w:val="00EB309E"/>
    <w:rsid w:val="00EB5F93"/>
    <w:rsid w:val="00EC0568"/>
    <w:rsid w:val="00EC16D1"/>
    <w:rsid w:val="00ED4B11"/>
    <w:rsid w:val="00EE721A"/>
    <w:rsid w:val="00EF2387"/>
    <w:rsid w:val="00EF464C"/>
    <w:rsid w:val="00F015F6"/>
    <w:rsid w:val="00F0272E"/>
    <w:rsid w:val="00F1449D"/>
    <w:rsid w:val="00F2438B"/>
    <w:rsid w:val="00F27FAB"/>
    <w:rsid w:val="00F353E9"/>
    <w:rsid w:val="00F374D5"/>
    <w:rsid w:val="00F50852"/>
    <w:rsid w:val="00F51A1B"/>
    <w:rsid w:val="00F64A3A"/>
    <w:rsid w:val="00F67B3A"/>
    <w:rsid w:val="00F74DD7"/>
    <w:rsid w:val="00F75684"/>
    <w:rsid w:val="00F76179"/>
    <w:rsid w:val="00F77FBD"/>
    <w:rsid w:val="00F81C33"/>
    <w:rsid w:val="00F914BE"/>
    <w:rsid w:val="00F923C2"/>
    <w:rsid w:val="00F9380A"/>
    <w:rsid w:val="00F97613"/>
    <w:rsid w:val="00FA04CA"/>
    <w:rsid w:val="00FA1684"/>
    <w:rsid w:val="00FA7B8D"/>
    <w:rsid w:val="00FB4626"/>
    <w:rsid w:val="00FE67B0"/>
    <w:rsid w:val="00FF096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9F56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customStyle="1" w:styleId="Default">
    <w:name w:val="Default"/>
    <w:rsid w:val="00985AF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A6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677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426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426D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C156BF"/>
    <w:rPr>
      <w:rFonts w:ascii="TradeGothic" w:hAnsi="TradeGothic"/>
      <w:sz w:val="2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CC269B"/>
    <w:rPr>
      <w:rFonts w:ascii="TradeGothic" w:hAnsi="TradeGothic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B4752"/>
    <w:pPr>
      <w:spacing w:before="240" w:after="240" w:line="259" w:lineRule="auto"/>
      <w:jc w:val="both"/>
    </w:pPr>
    <w:rPr>
      <w:rFonts w:ascii="Arial" w:eastAsiaTheme="minorEastAsia" w:hAnsi="Arial"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4752"/>
    <w:rPr>
      <w:rFonts w:ascii="Arial" w:eastAsiaTheme="minorEastAsia" w:hAnsi="Arial" w:cs="Arial"/>
      <w:lang w:eastAsia="en-US"/>
    </w:rPr>
  </w:style>
  <w:style w:type="character" w:styleId="FootnoteReference">
    <w:name w:val="footnote reference"/>
    <w:aliases w:val="stylish,SUPERS,Footnote Reference Superscript,Footnote symbol,BVI fnr,-E Fußnotenzeichen,Source Reference,Footnote reference number,note TESI,Times 10 Point,Exposant 3 Point,Ref,de nota al pie,EN Footnote Reference,ftr,ftref,FR"/>
    <w:basedOn w:val="DefaultParagraphFont"/>
    <w:uiPriority w:val="99"/>
    <w:unhideWhenUsed/>
    <w:qFormat/>
    <w:rsid w:val="003B475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B7C5F"/>
    <w:rPr>
      <w:rFonts w:ascii="Arial" w:hAnsi="Arial" w:cs="Arial"/>
      <w:b/>
      <w:bCs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0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lyw.cymru/cyfradd-is-y-dreth-gwarediadau-tirlenwi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lyw.cymru/canllaw-cyflym-cyfraddau-treth-incwm-cymru-2025-i-202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lyw.cymru/adroddiad-ar-bolisi-trethi-rhagfyr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7" ma:contentTypeDescription="Create a new document." ma:contentTypeScope="" ma:versionID="f823cbde6026e67e3e74a61df1f9c0e1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12c32efec452d9cdbe2b26650901c694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FF3C5B18883D4E21973B57C2EEED7FD1" version="1.0.0">
  <systemFields>
    <field name="Objective-Id">
      <value order="0">A56041990</value>
    </field>
    <field name="Objective-Title">
      <value order="0">Tax Policy Report 2024 - Written Statement - (C)</value>
    </field>
    <field name="Objective-Description">
      <value order="0"/>
    </field>
    <field name="Objective-CreationStamp">
      <value order="0">2024-12-05T16:38:50Z</value>
    </field>
    <field name="Objective-IsApproved">
      <value order="0">false</value>
    </field>
    <field name="Objective-IsPublished">
      <value order="0">true</value>
    </field>
    <field name="Objective-DatePublished">
      <value order="0">2024-12-06T10:09:48Z</value>
    </field>
    <field name="Objective-ModificationStamp">
      <value order="0">2024-12-06T10:09:47Z</value>
    </field>
    <field name="Objective-Owner">
      <value order="0">Moss, Nigel (CSI - Welsh Treasury - Tax Strategy&amp;Intergovernmental Relations)</value>
    </field>
    <field name="Objective-Path">
      <value order="0">Objective Global Folder:#Business File Plan:WG Organisational Groups:Post April 2024 - Corporate Services &amp; Inspectorates:Corporate Services &amp; Inspectorates (CSI) - Welsh Treasury - Tax Strategy and Intergovernmental Relations:1 - Save:Research:Tax Strategy and Policy :Tax Policy work plan &amp; reports :Welsh Treasury - Tax Policy Report - 2020-2026:2024 Welsh Tax Policy Report</value>
    </field>
    <field name="Objective-Parent">
      <value order="0">2024 Welsh Tax Policy Report</value>
    </field>
    <field name="Objective-State">
      <value order="0">Published</value>
    </field>
    <field name="Objective-VersionId">
      <value order="0">vA101890010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qA1415738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E8F3F-690B-4F48-A587-633A1225F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F7A5D-B988-4A40-A9B4-35C7DB87B9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0DE73A-8216-4156-BB15-0ACA61105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5.xml><?xml version="1.0" encoding="utf-8"?>
<ds:datastoreItem xmlns:ds="http://schemas.openxmlformats.org/officeDocument/2006/customXml" ds:itemID="{2745FE4B-67F8-46D9-BD06-7D34AEF86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1133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(FMG - Office of the First Minister - Cabinet Division)</cp:lastModifiedBy>
  <cp:revision>6</cp:revision>
  <cp:lastPrinted>2011-05-27T10:19:00Z</cp:lastPrinted>
  <dcterms:created xsi:type="dcterms:W3CDTF">2024-12-10T12:17:00Z</dcterms:created>
  <dcterms:modified xsi:type="dcterms:W3CDTF">2024-12-10T12:24:00Z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A56041990</vt:lpwstr>
  </property>
  <property fmtid="{D5CDD505-2E9C-101B-9397-08002B2CF9AE}" pid="4" name="Objective-Title">
    <vt:lpwstr>Tax Policy Report 2024 - Written Statement - (C)</vt:lpwstr>
  </property>
  <property fmtid="{D5CDD505-2E9C-101B-9397-08002B2CF9AE}" pid="5" name="Objective-Comment">
    <vt:lpwstr/>
  </property>
  <property fmtid="{D5CDD505-2E9C-101B-9397-08002B2CF9AE}" pid="6" name="Objective-CreationStamp">
    <vt:filetime>2024-12-05T16:38:50Z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2024-12-06T10:09:48Z</vt:filetime>
  </property>
  <property fmtid="{D5CDD505-2E9C-101B-9397-08002B2CF9AE}" pid="10" name="Objective-ModificationStamp">
    <vt:filetime>2024-12-06T10:09:47Z</vt:filetime>
  </property>
  <property fmtid="{D5CDD505-2E9C-101B-9397-08002B2CF9AE}" pid="11" name="Objective-Owner">
    <vt:lpwstr>Moss, Nigel (CSI - Welsh Treasury - Tax Strategy&amp;Intergovernmental Relations)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Welsh Treasury - Tax Strategy and Intergovernmental Relations:1 - Save:Research:Tax Strategy and Policy :Tax Policy work plan &amp; reports :Welsh Treasury - Tax Policy Report - 2020-2026:2024 Welsh Tax Policy Report:</vt:lpwstr>
  </property>
  <property fmtid="{D5CDD505-2E9C-101B-9397-08002B2CF9AE}" pid="13" name="Objective-Parent">
    <vt:lpwstr>2024 Welsh Tax Policy Report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vA101890010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0x010100739205D88DC4F44CB1CA8437F92B0221</vt:lpwstr>
  </property>
</Properties>
</file>