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7130" w14:textId="2181F7D2" w:rsidR="001C33B8" w:rsidRDefault="001C33B8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CF1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C0BE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C94D3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D84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F23DFCF" w:rsidR="00C94D30" w:rsidRPr="00670227" w:rsidRDefault="0088431A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Cynllun Ffermio Cynaliadwy (SFS) – Amlinelliad o'r Cynllun a Gynigir (2024)</w:t>
            </w:r>
          </w:p>
        </w:tc>
      </w:tr>
      <w:tr w:rsidR="00C94D3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C254C7D" w:rsidR="00C94D30" w:rsidRPr="00670227" w:rsidRDefault="00C644B5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25 Tachwedd 2024</w:t>
            </w:r>
          </w:p>
        </w:tc>
      </w:tr>
      <w:tr w:rsidR="00C94D3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079CC07" w:rsidR="00C94D30" w:rsidRPr="00670227" w:rsidRDefault="001B5912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 AS, y</w:t>
            </w:r>
            <w:r w:rsidR="00D7111A">
              <w:rPr>
                <w:rFonts w:ascii="Arial" w:hAnsi="Arial"/>
                <w:b/>
                <w:sz w:val="24"/>
              </w:rPr>
              <w:t xml:space="preserve"> Dirprwy Brif Weinidog ac Ysgrifennydd y Cabinet dros Newid Hinsawdd a Materion Gwledig</w:t>
            </w:r>
          </w:p>
        </w:tc>
      </w:tr>
    </w:tbl>
    <w:p w14:paraId="16F90651" w14:textId="77777777" w:rsidR="00EA5290" w:rsidRDefault="00EA5290" w:rsidP="00EA5290"/>
    <w:p w14:paraId="507EB456" w14:textId="131077D8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14 Tachwedd, </w:t>
      </w:r>
      <w:r w:rsidR="006B1AC1">
        <w:rPr>
          <w:rFonts w:ascii="Arial" w:hAnsi="Arial"/>
          <w:sz w:val="24"/>
        </w:rPr>
        <w:t xml:space="preserve">dywedais wrth </w:t>
      </w:r>
      <w:r>
        <w:rPr>
          <w:rFonts w:ascii="Arial" w:hAnsi="Arial"/>
          <w:sz w:val="24"/>
        </w:rPr>
        <w:t xml:space="preserve">Aelodau'r Senedd y byddwn yn gwneud cyhoeddiad ar y gwaith rydym wedi'i wneud i ddatblygu'r </w:t>
      </w:r>
      <w:hyperlink r:id="rId9" w:history="1">
        <w:r w:rsidRPr="003562E5">
          <w:rPr>
            <w:rStyle w:val="Hyperlink"/>
            <w:rFonts w:ascii="Arial" w:hAnsi="Arial"/>
            <w:sz w:val="24"/>
          </w:rPr>
          <w:t>Cynllun Ffermio Cynaliadwy (SFS)</w:t>
        </w:r>
      </w:hyperlink>
      <w:r>
        <w:rPr>
          <w:rFonts w:ascii="Arial" w:hAnsi="Arial"/>
          <w:sz w:val="24"/>
        </w:rPr>
        <w:t xml:space="preserve">. </w:t>
      </w:r>
    </w:p>
    <w:p w14:paraId="27D9317E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524C77FA" w14:textId="08F8C34B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Fel yr esboniais yn fy natganiad blaenorol, i gyrraedd y pwynt lle rydyn ni nawr, dwi wedi gwrando ar adborth ffermwyr, grwpiau amgylchedd</w:t>
      </w:r>
      <w:r w:rsidR="003112F6">
        <w:rPr>
          <w:rFonts w:ascii="Arial" w:hAnsi="Arial"/>
          <w:sz w:val="24"/>
        </w:rPr>
        <w:t>ol</w:t>
      </w:r>
      <w:r>
        <w:rPr>
          <w:rFonts w:ascii="Arial" w:hAnsi="Arial"/>
          <w:sz w:val="24"/>
        </w:rPr>
        <w:t xml:space="preserve"> ac amrywiaeth eang o fuddiannau eraill ac wedi cydweithio â nhw drwy'r Ford Gron Crwn Gweinidogol. </w:t>
      </w:r>
    </w:p>
    <w:p w14:paraId="5AA39D6B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03FAE795" w14:textId="77777777" w:rsidR="0036354D" w:rsidRDefault="000A4BC3" w:rsidP="001B17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Dwi'n hynod ddiolchgar </w:t>
      </w:r>
      <w:r w:rsidR="00AA0696">
        <w:rPr>
          <w:rFonts w:ascii="Arial" w:hAnsi="Arial"/>
          <w:sz w:val="24"/>
        </w:rPr>
        <w:t>am ymdrech aruthrol pawb sydd wedi cymryd rhan</w:t>
      </w:r>
      <w:r>
        <w:rPr>
          <w:rFonts w:ascii="Arial" w:hAnsi="Arial"/>
          <w:sz w:val="24"/>
        </w:rPr>
        <w:t>. Mae'n bleser imi heddiw allu cyhoeddi</w:t>
      </w:r>
      <w:r w:rsidR="0003015A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Amlinelliad </w:t>
      </w:r>
      <w:r w:rsidR="0003015A">
        <w:rPr>
          <w:rFonts w:ascii="Arial" w:hAnsi="Arial"/>
          <w:sz w:val="24"/>
        </w:rPr>
        <w:t xml:space="preserve">hwn </w:t>
      </w:r>
      <w:r>
        <w:rPr>
          <w:rFonts w:ascii="Arial" w:hAnsi="Arial"/>
          <w:sz w:val="24"/>
        </w:rPr>
        <w:t>o'r Cynllun diwygiedig. Mae'n adlewyrchu'r gwaith mawr yr ydym wedi'i wneud trwy gydweithio</w:t>
      </w:r>
      <w:r w:rsidR="00226700">
        <w:rPr>
          <w:rFonts w:ascii="Arial" w:hAnsi="Arial"/>
          <w:sz w:val="24"/>
        </w:rPr>
        <w:t xml:space="preserve"> gyda’r Ford Gron. </w:t>
      </w:r>
    </w:p>
    <w:p w14:paraId="5D38CF96" w14:textId="77777777" w:rsidR="0036354D" w:rsidRDefault="0036354D" w:rsidP="001B1708">
      <w:pPr>
        <w:rPr>
          <w:rFonts w:ascii="Arial" w:hAnsi="Arial"/>
          <w:sz w:val="24"/>
        </w:rPr>
      </w:pPr>
    </w:p>
    <w:p w14:paraId="2F63FAA6" w14:textId="7CB533AD" w:rsidR="0060767D" w:rsidRPr="00A31AF5" w:rsidRDefault="0036354D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bod y gwaith rydym wedi’i wneud gyda’n gilydd yn sylweddol, nid hwn yw’r Cynllun terfynol. </w:t>
      </w:r>
      <w:r w:rsidR="00FE04A4">
        <w:rPr>
          <w:rFonts w:ascii="Arial" w:hAnsi="Arial"/>
          <w:sz w:val="24"/>
        </w:rPr>
        <w:t xml:space="preserve">Mae’r Ford Gron wedi cytuno bod yr Amlinelliad o’r Cynllun sy’n cael ei gyhoeddi heddiw </w:t>
      </w:r>
      <w:r w:rsidR="0060767D">
        <w:rPr>
          <w:rFonts w:ascii="Arial" w:hAnsi="Arial"/>
          <w:sz w:val="24"/>
        </w:rPr>
        <w:t xml:space="preserve">yn cael ei ddefnyddio nawr i gynnal asesiad effaith a dadansoddiad economaidd newydd dros y misoedd i ddod i fesur ei effeithiau ar ystod o agweddau amaethyddol, amgylcheddol a chymdeithasol. </w:t>
      </w:r>
    </w:p>
    <w:p w14:paraId="4A50087B" w14:textId="66C7E97E" w:rsidR="0036354D" w:rsidRDefault="0036354D" w:rsidP="001B1708">
      <w:pPr>
        <w:rPr>
          <w:rFonts w:ascii="Arial" w:hAnsi="Arial"/>
          <w:sz w:val="24"/>
        </w:rPr>
      </w:pPr>
    </w:p>
    <w:p w14:paraId="4D458EC0" w14:textId="78ED1B58" w:rsidR="00FC27C8" w:rsidRPr="001B1708" w:rsidRDefault="000A4BC3" w:rsidP="001B17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newidiadau sydd wedi'u gwneud yn mynd i'r afael ag anghenion ffermwyr </w:t>
      </w:r>
      <w:r w:rsidR="006F0CB1">
        <w:rPr>
          <w:rFonts w:ascii="Arial" w:hAnsi="Arial"/>
          <w:sz w:val="24"/>
        </w:rPr>
        <w:t>Cymru. Yr un pryd</w:t>
      </w:r>
      <w:r w:rsidR="00505236">
        <w:rPr>
          <w:rFonts w:ascii="Arial" w:hAnsi="Arial"/>
          <w:sz w:val="24"/>
        </w:rPr>
        <w:t>, bydd</w:t>
      </w:r>
      <w:r w:rsidR="00AD1FC8">
        <w:rPr>
          <w:rFonts w:ascii="Arial" w:hAnsi="Arial"/>
          <w:sz w:val="24"/>
        </w:rPr>
        <w:t xml:space="preserve">wn yn </w:t>
      </w:r>
      <w:r w:rsidR="00505236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yflawni amcanion Rheoli Tir yn Gynaliadwy sydd wedi'u nodi mewn deddfwriaeth, </w:t>
      </w:r>
      <w:r w:rsidR="00872509">
        <w:rPr>
          <w:rFonts w:ascii="Arial" w:hAnsi="Arial"/>
          <w:sz w:val="24"/>
        </w:rPr>
        <w:t>sy’n c</w:t>
      </w:r>
      <w:r>
        <w:rPr>
          <w:rFonts w:ascii="Arial" w:hAnsi="Arial"/>
          <w:sz w:val="24"/>
        </w:rPr>
        <w:t>ynnwys cefnogi cynhyrchu bwyd yn gynaliadwy</w:t>
      </w:r>
      <w:r w:rsidR="00872509">
        <w:rPr>
          <w:rFonts w:ascii="Arial" w:hAnsi="Arial"/>
          <w:sz w:val="24"/>
        </w:rPr>
        <w:t xml:space="preserve"> a’n </w:t>
      </w:r>
      <w:r>
        <w:rPr>
          <w:rFonts w:ascii="Arial" w:hAnsi="Arial"/>
          <w:sz w:val="24"/>
        </w:rPr>
        <w:t>hymrwymiadau o ran y newid yn yr hinsawdd a natur.</w:t>
      </w:r>
    </w:p>
    <w:p w14:paraId="55A001A7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766C3DF4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wedi cadw fframwaith yr haen Gyffredinol i bawb, gyda Gweithredoedd Opsiynol a Chydweithredol ychwanegol i'r rheini sydd am wneud mwy. </w:t>
      </w:r>
    </w:p>
    <w:p w14:paraId="1353AFFE" w14:textId="77777777" w:rsidR="00EF085D" w:rsidRDefault="00EF085D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 sail yr adborth, rydym wedi gwneud newidiadau arwyddocaol i'r rhan fwyaf o'r Gweithredoedd Cyffredinol i sicrhau eu bod yn briodol, yn ymarferol ac yn cydnabod yr arfer da ar ffermydd. Mae'r newidiadau hyn yn golygu ein bod wedi lleihau nifer y Gweithredoedd Cyffredinol o 17 i 12.</w:t>
      </w:r>
    </w:p>
    <w:p w14:paraId="3191B520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594D4F46" w14:textId="7A751D49" w:rsidR="00932F3E" w:rsidRDefault="00932F3E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Newid pwysig yn y Cynllun yw ein bod wedi uno'r gweithredoedd Iechyd Anifeiliaid, Lles a Bioddiogelwch yn un Weithred Gyffredinol symlach fel bod eich trafodaethau gyda'ch milfeddyg yn canolbwyntio ar</w:t>
      </w:r>
      <w:r w:rsidR="00F36676">
        <w:rPr>
          <w:rFonts w:ascii="Arial" w:hAnsi="Arial"/>
          <w:sz w:val="24"/>
        </w:rPr>
        <w:t xml:space="preserve"> wella </w:t>
      </w:r>
      <w:r>
        <w:rPr>
          <w:rFonts w:ascii="Arial" w:hAnsi="Arial"/>
          <w:sz w:val="24"/>
        </w:rPr>
        <w:t xml:space="preserve">iechyd a lles anifeiliaid. Rydym hefyd wedi gwneud y gofyniad bod pob fferm yn darparu man golchi yn Weithred Opsiynol, gan gydnabod y gall fod angen lefel wahanol o fioddiogelwch ar bob fferm. </w:t>
      </w:r>
    </w:p>
    <w:p w14:paraId="6524C1CD" w14:textId="234459A3" w:rsidR="007339DE" w:rsidRDefault="007339DE" w:rsidP="001B17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ystyried pwysigrwydd y Cynllun o ran </w:t>
      </w:r>
      <w:r w:rsidR="00477962" w:rsidRPr="00477962">
        <w:rPr>
          <w:rFonts w:ascii="Arial" w:hAnsi="Arial"/>
          <w:sz w:val="24"/>
        </w:rPr>
        <w:t xml:space="preserve">mynd i'r afael </w:t>
      </w:r>
      <w:r w:rsidR="00CF5B40">
        <w:rPr>
          <w:rFonts w:ascii="Arial" w:hAnsi="Arial" w:cs="Arial"/>
          <w:sz w:val="24"/>
        </w:rPr>
        <w:t>â</w:t>
      </w:r>
      <w:r w:rsidR="00CF5B40">
        <w:rPr>
          <w:rFonts w:ascii="Arial" w:hAnsi="Arial"/>
          <w:sz w:val="24"/>
        </w:rPr>
        <w:t>’r</w:t>
      </w:r>
      <w:r w:rsidR="00477962" w:rsidRPr="00477962">
        <w:rPr>
          <w:rFonts w:ascii="Arial" w:hAnsi="Arial"/>
          <w:sz w:val="24"/>
        </w:rPr>
        <w:t xml:space="preserve"> argyfyngau hinsawdd a natur</w:t>
      </w:r>
      <w:r w:rsidR="0047796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rydym wedi cadw'r gofyniad i ffermwyr reoli o leiaf 10% o'u fferm fel cynefin. Er mwyn helpu ffermwyr yn hyn o beth, rydym yn ystyried opsiynau ychwanegol i greu cynefin dros dro. Dylen nhw fod yn addas ar gyfer pob system ffermio a phob math o berche</w:t>
      </w:r>
      <w:r w:rsidR="006B38C7">
        <w:rPr>
          <w:rFonts w:ascii="Arial" w:hAnsi="Arial"/>
          <w:sz w:val="24"/>
        </w:rPr>
        <w:t xml:space="preserve">nnog </w:t>
      </w:r>
      <w:r>
        <w:rPr>
          <w:rFonts w:ascii="Arial" w:hAnsi="Arial"/>
          <w:sz w:val="24"/>
        </w:rPr>
        <w:t xml:space="preserve">tir. Er enghraifft, yn fy marn i byddai'n afresymol i landlord wrthod gadael i denant ymuno â'r SFS am ei fod am gynnwys cynefin dros dro yn ei gylchdro cnydau. </w:t>
      </w:r>
    </w:p>
    <w:p w14:paraId="3FF304B5" w14:textId="77777777" w:rsidR="007D1575" w:rsidRDefault="007D1575" w:rsidP="001B1708">
      <w:pPr>
        <w:rPr>
          <w:rFonts w:ascii="Arial" w:hAnsi="Arial"/>
          <w:sz w:val="24"/>
        </w:rPr>
      </w:pPr>
    </w:p>
    <w:p w14:paraId="071562EA" w14:textId="7FE9AE7F" w:rsidR="007D1575" w:rsidRDefault="007D1575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am uno'r Weithred rheoli pyllau d</w:t>
      </w:r>
      <w:r w:rsidR="00AA5CCA">
        <w:rPr>
          <w:rFonts w:ascii="Arial" w:hAnsi="Arial"/>
          <w:sz w:val="24"/>
        </w:rPr>
        <w:t>ŵ</w:t>
      </w:r>
      <w:r>
        <w:rPr>
          <w:rFonts w:ascii="Arial" w:hAnsi="Arial"/>
          <w:sz w:val="24"/>
        </w:rPr>
        <w:t>r bywyd gwyllt â'r Weithred Gyffredinol ar gyfer cynnal cynefinoedd a bydd yn cyfrif at y 10% o gynefin.  Rydym wedi newid creu pyllau d</w:t>
      </w:r>
      <w:r w:rsidR="00AA5CCA">
        <w:rPr>
          <w:rFonts w:ascii="Arial" w:hAnsi="Arial"/>
          <w:sz w:val="24"/>
        </w:rPr>
        <w:t>ŵ</w:t>
      </w:r>
      <w:r>
        <w:rPr>
          <w:rFonts w:ascii="Arial" w:hAnsi="Arial"/>
          <w:sz w:val="24"/>
        </w:rPr>
        <w:t>r tymhorol ychwanegol i fod yn Weithred Opsiynol.</w:t>
      </w:r>
    </w:p>
    <w:p w14:paraId="4FAD44A2" w14:textId="77777777" w:rsidR="00286CDD" w:rsidRDefault="00286CDD" w:rsidP="001B1708">
      <w:pPr>
        <w:rPr>
          <w:rFonts w:ascii="Arial" w:hAnsi="Arial" w:cs="Arial"/>
          <w:sz w:val="24"/>
          <w:szCs w:val="24"/>
        </w:rPr>
      </w:pPr>
    </w:p>
    <w:p w14:paraId="70E9BC81" w14:textId="6D8DD3F0" w:rsidR="0052242C" w:rsidRDefault="0052242C" w:rsidP="001B17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 ôl ystyried llawer o dystiolaeth gan arbenigwyr a phapurau gwyddonol, cyhoeddwyd </w:t>
      </w:r>
      <w:hyperlink r:id="rId10" w:history="1">
        <w:r w:rsidRPr="003562E5">
          <w:rPr>
            <w:rStyle w:val="Hyperlink"/>
            <w:rFonts w:ascii="Arial" w:hAnsi="Arial"/>
            <w:sz w:val="24"/>
          </w:rPr>
          <w:t>Crynodeb Gweithredol o ganfyddiadau'r Panel Adolygu Tystiolaeth Atafaelu Carbon (y Panel Carbon)</w:t>
        </w:r>
      </w:hyperlink>
      <w:r>
        <w:rPr>
          <w:rFonts w:ascii="Arial" w:hAnsi="Arial"/>
          <w:sz w:val="24"/>
        </w:rPr>
        <w:t xml:space="preserve"> yr un pryd â'r Amlinelliad o'r Cynllun. Mae'r Crynodeb yn sylfaen eang o dystiolaeth a gwyddoniaeth fydd yn llywio trafodaethau'r Ford Gron</w:t>
      </w:r>
      <w:r w:rsidR="00D549E5">
        <w:rPr>
          <w:rFonts w:ascii="Arial" w:hAnsi="Arial"/>
          <w:sz w:val="24"/>
        </w:rPr>
        <w:t>. M</w:t>
      </w:r>
      <w:r>
        <w:rPr>
          <w:rFonts w:ascii="Arial" w:hAnsi="Arial"/>
          <w:sz w:val="24"/>
        </w:rPr>
        <w:t>ae llawer o argymhellion y Panel ar y Gweithredoedd Cyffredinol eisoes wedi'u hymgorffori yn yr Amlinelliad o'r Cynllun</w:t>
      </w:r>
      <w:r w:rsidR="0016037A">
        <w:rPr>
          <w:rFonts w:ascii="Arial" w:hAnsi="Arial"/>
          <w:sz w:val="24"/>
        </w:rPr>
        <w:t xml:space="preserve"> a byddwn yn parhau i ddatblygu </w:t>
      </w:r>
      <w:r w:rsidR="00C60E86">
        <w:rPr>
          <w:rFonts w:ascii="Arial" w:hAnsi="Arial"/>
          <w:sz w:val="24"/>
        </w:rPr>
        <w:t>nifer</w:t>
      </w:r>
      <w:r w:rsidR="0016037A">
        <w:rPr>
          <w:rFonts w:ascii="Arial" w:hAnsi="Arial"/>
          <w:sz w:val="24"/>
        </w:rPr>
        <w:t xml:space="preserve"> o Weithredoedd Opsiynol </w:t>
      </w:r>
      <w:r w:rsidR="00C60E86">
        <w:rPr>
          <w:rFonts w:ascii="Arial" w:hAnsi="Arial"/>
          <w:sz w:val="24"/>
        </w:rPr>
        <w:t>sy’n ymwneud â dal a storio carbon i ffermwyr eu hystyried</w:t>
      </w:r>
      <w:r>
        <w:rPr>
          <w:rFonts w:ascii="Arial" w:hAnsi="Arial"/>
          <w:sz w:val="24"/>
        </w:rPr>
        <w:t xml:space="preserve">. </w:t>
      </w:r>
    </w:p>
    <w:p w14:paraId="32100089" w14:textId="77777777" w:rsidR="00F60A47" w:rsidRPr="0025576F" w:rsidRDefault="00F60A47" w:rsidP="001B1708">
      <w:pPr>
        <w:rPr>
          <w:rFonts w:ascii="Arial" w:hAnsi="Arial" w:cs="Arial"/>
          <w:sz w:val="24"/>
          <w:szCs w:val="24"/>
        </w:rPr>
      </w:pPr>
    </w:p>
    <w:p w14:paraId="289CE807" w14:textId="700E816E" w:rsidR="001A1418" w:rsidRDefault="001A1418" w:rsidP="001B17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 ran plannu coed a chreu perthi (gwrychoedd), rydym wedi gwrando'n astud ar yr ystod o safbwyntiau a fynegwyd, gan gynnwys gan y Panel Carbon. Rydym wedi datblygu cynnig gyda'r Ford Gron a fydd yn ein barn ni yn gwireddu'n hamcanion carbon a natur yn well. Y bwriad yw cydweithio â ffermwyr i wneud y gorau o'r cyfleoedd i blannu a rheoli rhagor o goed a pherthi mewn ffordd fydd o fantais i fusnes y fferm, er enghraifft trwy ddarparu cysgod ar gyfer da byw a chnydau, diogelu pridd a lleihau d</w:t>
      </w:r>
      <w:r w:rsidR="00D02F5D">
        <w:rPr>
          <w:rFonts w:ascii="Arial" w:hAnsi="Arial"/>
          <w:sz w:val="24"/>
        </w:rPr>
        <w:t>ŵ</w:t>
      </w:r>
      <w:r>
        <w:rPr>
          <w:rFonts w:ascii="Arial" w:hAnsi="Arial"/>
          <w:sz w:val="24"/>
        </w:rPr>
        <w:t xml:space="preserve">r ffo. </w:t>
      </w:r>
    </w:p>
    <w:p w14:paraId="454D0C85" w14:textId="77777777" w:rsidR="00D02F5D" w:rsidRDefault="00D02F5D" w:rsidP="001B1708">
      <w:pPr>
        <w:rPr>
          <w:rFonts w:ascii="Arial" w:hAnsi="Arial"/>
          <w:sz w:val="24"/>
        </w:rPr>
      </w:pPr>
    </w:p>
    <w:p w14:paraId="4E6B4EDF" w14:textId="01ECBC9B" w:rsidR="00D02F5D" w:rsidRPr="00E16427" w:rsidRDefault="00B645E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wedi cael gwared ar y </w:t>
      </w:r>
      <w:r w:rsidR="00D02F5D">
        <w:rPr>
          <w:rFonts w:ascii="Arial" w:hAnsi="Arial"/>
          <w:sz w:val="24"/>
        </w:rPr>
        <w:t>ffigur penodol ar gyfer gorchudd coed ar lefel y fferm</w:t>
      </w:r>
      <w:r w:rsidR="009B147E">
        <w:rPr>
          <w:rFonts w:ascii="Arial" w:hAnsi="Arial"/>
          <w:sz w:val="24"/>
        </w:rPr>
        <w:t xml:space="preserve">. Yn ei le rydym am </w:t>
      </w:r>
      <w:r w:rsidR="00D02F5D">
        <w:rPr>
          <w:rFonts w:ascii="Arial" w:hAnsi="Arial"/>
          <w:sz w:val="24"/>
        </w:rPr>
        <w:t xml:space="preserve">osod targed ar lefel y cynllun cyfan. Byddwn yn </w:t>
      </w:r>
      <w:r w:rsidR="009B147E">
        <w:rPr>
          <w:rFonts w:ascii="Arial" w:hAnsi="Arial"/>
          <w:sz w:val="24"/>
        </w:rPr>
        <w:t xml:space="preserve">cytuno ar y </w:t>
      </w:r>
      <w:r w:rsidR="00D02F5D">
        <w:rPr>
          <w:rFonts w:ascii="Arial" w:hAnsi="Arial"/>
          <w:sz w:val="24"/>
        </w:rPr>
        <w:t>targed hwnnw ar ôl trafod â'r Ford Gron</w:t>
      </w:r>
      <w:r w:rsidR="00AA472B">
        <w:rPr>
          <w:rFonts w:ascii="Arial" w:hAnsi="Arial"/>
          <w:sz w:val="24"/>
        </w:rPr>
        <w:t xml:space="preserve">. Byddwn yn </w:t>
      </w:r>
      <w:r w:rsidR="00D02F5D">
        <w:rPr>
          <w:rFonts w:ascii="Arial" w:hAnsi="Arial"/>
          <w:sz w:val="24"/>
        </w:rPr>
        <w:t>creu Gweithred Gyffredinol ar gyfer cynllun cyfle i blannu coed a chreu perthi. Byddwn yn sefydlu mecanwaith lywodraethu, a fydd yn cynnwys y diwydiant ffermio a rhanddeiliaid amgylcheddol, i weithio ar y cyd i gyrraedd y targedau hyn.</w:t>
      </w:r>
    </w:p>
    <w:p w14:paraId="117EF5CB" w14:textId="77777777" w:rsidR="00D02F5D" w:rsidRDefault="00D02F5D" w:rsidP="001B1708">
      <w:pPr>
        <w:rPr>
          <w:rFonts w:ascii="Arial" w:hAnsi="Arial"/>
          <w:sz w:val="24"/>
        </w:rPr>
      </w:pPr>
    </w:p>
    <w:p w14:paraId="6A182FAD" w14:textId="2A51D51E" w:rsidR="00206F66" w:rsidRDefault="00206F66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ffermwyr a fydd yn gwneud cais i ymuno â'r Cynllun yn cael penderfynu lle byddan nhw am ychwanegu rhagor o goed/perthi ar eu fferm, a faint, a chael cyllid i'w helpu i wneud hynny drwy Haen Opsiynol y Cynllun. Rydym yn cynnig y bydd ffermwyr yn llunio cynllun cyfle ar gyfer eu fferm yn y flwyddyn gyntaf ar ôl ymuno â'r Cynllun a bydd angen iddynt ddangos faint y maent wedi'i wneud i roi'r cynllun ar waith erbyn diwedd blwyddyn 2030 y Cynllun. Rydym am wneud hon yn broses syml fel na fydd angen help coedwigwr proffesiynol</w:t>
      </w:r>
      <w:r w:rsidR="00E2761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ar ffermwyr, ond byddwn yn sicrhau bod cyngor arbenigol ar gael i helpu ffermwyr i benderfynu ble orau i blannu.  Rydym am fod yn hyblyg iawn a rhoi cymorth ar gyfer amrywiaeth eang o weithgareddau gan gynnwys plannu coetir, lleiniau cysgodi, coetir </w:t>
      </w:r>
      <w:r>
        <w:rPr>
          <w:rFonts w:ascii="Arial" w:hAnsi="Arial"/>
          <w:sz w:val="24"/>
        </w:rPr>
        <w:lastRenderedPageBreak/>
        <w:t xml:space="preserve">pori (neu amaethgoedwigaeth fel y'i gelwir hefyd), perllannau, coed unigol a pherthi/gwrychoedd newydd. </w:t>
      </w:r>
    </w:p>
    <w:p w14:paraId="265894CF" w14:textId="77777777" w:rsidR="00D02F5D" w:rsidRDefault="00D02F5D" w:rsidP="001B1708">
      <w:pPr>
        <w:rPr>
          <w:rFonts w:ascii="Arial" w:hAnsi="Arial"/>
          <w:sz w:val="24"/>
        </w:rPr>
      </w:pPr>
    </w:p>
    <w:p w14:paraId="7E9286AD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Yn unol ag argymhellion y Panel Carbon, byddwn yn sicrhau bod Gweithredoedd Opsiynol ar gael ar gyfer storio carbon mewn ffyrdd eraill.</w:t>
      </w:r>
    </w:p>
    <w:p w14:paraId="56459B20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475CF344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Rydym wedi symleiddio'r Gweithredoedd a'r ffordd y byddwn yn eu gweinyddu er mwyn gallu eu rhedeg mor effeithlon â phosibl trwy RPW Ar-lein a rhoi cyfleoedd i ffermwyr presennol, newydd ac ifanc.</w:t>
      </w:r>
    </w:p>
    <w:p w14:paraId="53ED4CF8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51AEBB0E" w14:textId="1E618E8A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wedi esbonio yn Amlinelliad y Cynllun sut rydym yn cynnig cyfri'r Taliad Cyffredinol. Yn ogystal </w:t>
      </w:r>
      <w:r w:rsidR="002B337D">
        <w:rPr>
          <w:rFonts w:ascii="Arial" w:hAnsi="Arial"/>
          <w:sz w:val="24"/>
        </w:rPr>
        <w:t xml:space="preserve">ag ystyried y </w:t>
      </w:r>
      <w:r>
        <w:rPr>
          <w:rFonts w:ascii="Arial" w:hAnsi="Arial"/>
          <w:sz w:val="24"/>
        </w:rPr>
        <w:t xml:space="preserve">costau y bydd ffermwyr yn eu hysgwyddo a'r incwm y byddan nhw'n ei golli, rydym yn cadarnhau ein bod am gynnwys gwerth cymdeithasol yn y taliad hwn. Bydd hyn yn cynrychioli'r manteision ehangach i gymdeithas y gall diwydiant amaethyddol cynaliadwy eu cynnig. Byddwn yn cyhoeddi'r cyfraddau talu gyda'r Cynllun terfynol. </w:t>
      </w:r>
    </w:p>
    <w:p w14:paraId="374AF6AE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51E64EF2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newidiadau eraill yn cynnwys ystyried Safleoedd o Ddiddordeb Gwyddonol Arbennig (SoDdGA) a hawliau tir comin yn y Taliad Cyffredinol. Bydd rhagor o gymorth ar gyfer y ddau ar gael hefyd ar ffurf Gweithredoedd Opsiynol a Chydweithredol.  </w:t>
      </w:r>
    </w:p>
    <w:p w14:paraId="0B6F7CAC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1E558E80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 Ford Gron Gweinidogol a'r Gweithgor Swyddogion yn parhau i adolygu manylion y Gweithredoedd, Gofynion y Cynllun a'r prosesau gweinyddol yn y misoedd i ddod. </w:t>
      </w:r>
    </w:p>
    <w:p w14:paraId="53489340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2245D46B" w14:textId="386A0F3E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Rwy'n bwriadu penderfynu ar y Cynllun terfynol yr haf nesaf, ar sail rhagor o drafod yn y Ford Gron Gweinidogol a</w:t>
      </w:r>
      <w:r w:rsidR="00BC142D">
        <w:rPr>
          <w:rFonts w:ascii="Arial" w:hAnsi="Arial"/>
          <w:sz w:val="24"/>
        </w:rPr>
        <w:t xml:space="preserve">’r </w:t>
      </w:r>
      <w:r>
        <w:rPr>
          <w:rFonts w:ascii="Arial" w:hAnsi="Arial"/>
          <w:sz w:val="24"/>
        </w:rPr>
        <w:t>dystiolaeth gan gynnwys y dadansoddiad economaidd a'r asesiad o'r effeithiau.</w:t>
      </w:r>
      <w:r w:rsidR="009305C5">
        <w:rPr>
          <w:rFonts w:ascii="Arial" w:hAnsi="Arial"/>
          <w:sz w:val="24"/>
        </w:rPr>
        <w:t xml:space="preserve"> Dyma fydd y cyfle cyntaf gawn ni i roi manylion y cyfraddau talu. </w:t>
      </w:r>
    </w:p>
    <w:p w14:paraId="6BF2E25D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5FE2ED4A" w14:textId="6A0A647A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parhau'n ymrwymedig i wrando ar ein rhanddeiliaid ac i weithio gyda nhw i sicrhau bod y Cynllun terfynol a ddarparwn yn 2026 yn Gynllun a fydd yn helpu i sicrhau bod busnesau ffermio yn gadarn yn economaidd, bod bwyd yn cael ei gynhyrchu mewn ffordd gynaliadwy, a'n bod yn cyflawni'n amcanion ar gyfer yr hinsawdd a natur a'n cymunedau gwledig er budd cenedlaethau'r presennol a'r dyfodol.  </w:t>
      </w:r>
    </w:p>
    <w:p w14:paraId="1FB6121E" w14:textId="77777777" w:rsidR="000A4BC3" w:rsidRDefault="000A4BC3" w:rsidP="001B1708">
      <w:pPr>
        <w:rPr>
          <w:rFonts w:ascii="Arial" w:hAnsi="Arial" w:cs="Arial"/>
          <w:sz w:val="24"/>
          <w:szCs w:val="24"/>
        </w:rPr>
      </w:pPr>
    </w:p>
    <w:p w14:paraId="26E1C165" w14:textId="50166D2D" w:rsidR="000A4BC3" w:rsidRDefault="000A4BC3" w:rsidP="001B170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Credaf y bydd y newidiadau a ddisgrifir heddiw</w:t>
      </w:r>
      <w:r w:rsidR="005D2A57">
        <w:rPr>
          <w:rFonts w:ascii="Arial" w:hAnsi="Arial"/>
          <w:sz w:val="24"/>
        </w:rPr>
        <w:t xml:space="preserve"> yn </w:t>
      </w:r>
      <w:r>
        <w:rPr>
          <w:rFonts w:ascii="Arial" w:hAnsi="Arial"/>
          <w:sz w:val="24"/>
        </w:rPr>
        <w:t xml:space="preserve">Amlinelliad y Cynllun yn sicrhau bod y Cynllun ar gael i bob ffermwr sy'n dymuno cymryd rhan ac yn cryfhau cyfraniad y Cynllun i'n hymrwymiadau o blaid </w:t>
      </w:r>
      <w:r w:rsidR="005D2A57">
        <w:rPr>
          <w:rFonts w:ascii="Arial" w:hAnsi="Arial"/>
          <w:sz w:val="24"/>
        </w:rPr>
        <w:t xml:space="preserve">yr </w:t>
      </w:r>
      <w:r>
        <w:rPr>
          <w:rFonts w:ascii="Arial" w:hAnsi="Arial"/>
          <w:sz w:val="24"/>
        </w:rPr>
        <w:t xml:space="preserve">hinsawdd a natur. </w:t>
      </w:r>
    </w:p>
    <w:p w14:paraId="3DC517E2" w14:textId="77777777" w:rsidR="000A4BC3" w:rsidRPr="00404DAC" w:rsidRDefault="000A4BC3" w:rsidP="001B1708">
      <w:pPr>
        <w:rPr>
          <w:rFonts w:ascii="Arial" w:hAnsi="Arial" w:cs="Arial"/>
          <w:sz w:val="24"/>
          <w:szCs w:val="24"/>
        </w:rPr>
      </w:pPr>
    </w:p>
    <w:p w14:paraId="07CE87F5" w14:textId="33F170BC" w:rsidR="004D6F26" w:rsidRPr="0088431A" w:rsidRDefault="004D6F26" w:rsidP="001B1708">
      <w:pPr>
        <w:rPr>
          <w:rFonts w:ascii="Arial" w:hAnsi="Arial" w:cs="Arial"/>
          <w:sz w:val="24"/>
          <w:szCs w:val="24"/>
        </w:rPr>
      </w:pPr>
    </w:p>
    <w:sectPr w:rsidR="004D6F26" w:rsidRPr="0088431A" w:rsidSect="00A6405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1F67" w14:textId="77777777" w:rsidR="00E8756E" w:rsidRDefault="00E8756E">
      <w:r>
        <w:separator/>
      </w:r>
    </w:p>
  </w:endnote>
  <w:endnote w:type="continuationSeparator" w:id="0">
    <w:p w14:paraId="02D4DD4B" w14:textId="77777777" w:rsidR="00E8756E" w:rsidRDefault="00E8756E">
      <w:r>
        <w:continuationSeparator/>
      </w:r>
    </w:p>
  </w:endnote>
  <w:endnote w:type="continuationNotice" w:id="1">
    <w:p w14:paraId="41CB56A5" w14:textId="77777777" w:rsidR="00E8756E" w:rsidRDefault="00E87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8C91D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13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5A34" w14:textId="77777777" w:rsidR="00E8756E" w:rsidRDefault="00E8756E">
      <w:r>
        <w:separator/>
      </w:r>
    </w:p>
  </w:footnote>
  <w:footnote w:type="continuationSeparator" w:id="0">
    <w:p w14:paraId="61C90404" w14:textId="77777777" w:rsidR="00E8756E" w:rsidRDefault="00E8756E">
      <w:r>
        <w:continuationSeparator/>
      </w:r>
    </w:p>
  </w:footnote>
  <w:footnote w:type="continuationNotice" w:id="1">
    <w:p w14:paraId="1B02A0D5" w14:textId="77777777" w:rsidR="00E8756E" w:rsidRDefault="00E87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4A5"/>
    <w:multiLevelType w:val="hybridMultilevel"/>
    <w:tmpl w:val="54C20504"/>
    <w:lvl w:ilvl="0" w:tplc="EE20F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0CAD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5EA8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6E0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7C8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3C2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C2C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C06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2E8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56116"/>
    <w:multiLevelType w:val="hybridMultilevel"/>
    <w:tmpl w:val="9E2A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205"/>
    <w:multiLevelType w:val="hybridMultilevel"/>
    <w:tmpl w:val="F800A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80C0A"/>
    <w:multiLevelType w:val="hybridMultilevel"/>
    <w:tmpl w:val="798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A1491"/>
    <w:multiLevelType w:val="hybridMultilevel"/>
    <w:tmpl w:val="A0B2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A3B"/>
    <w:multiLevelType w:val="hybridMultilevel"/>
    <w:tmpl w:val="B05EADDA"/>
    <w:lvl w:ilvl="0" w:tplc="1EE0F2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E4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A41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DC7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761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3B60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D6C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E2E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BEE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37084580">
    <w:abstractNumId w:val="1"/>
  </w:num>
  <w:num w:numId="2" w16cid:durableId="1789541621">
    <w:abstractNumId w:val="6"/>
  </w:num>
  <w:num w:numId="3" w16cid:durableId="974217429">
    <w:abstractNumId w:val="0"/>
  </w:num>
  <w:num w:numId="4" w16cid:durableId="1549997161">
    <w:abstractNumId w:val="4"/>
  </w:num>
  <w:num w:numId="5" w16cid:durableId="1164593451">
    <w:abstractNumId w:val="2"/>
  </w:num>
  <w:num w:numId="6" w16cid:durableId="1999729836">
    <w:abstractNumId w:val="3"/>
  </w:num>
  <w:num w:numId="7" w16cid:durableId="96419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476"/>
    <w:rsid w:val="00002E65"/>
    <w:rsid w:val="00006FA5"/>
    <w:rsid w:val="000127B7"/>
    <w:rsid w:val="0001504E"/>
    <w:rsid w:val="00015574"/>
    <w:rsid w:val="00017710"/>
    <w:rsid w:val="00023B69"/>
    <w:rsid w:val="0003009D"/>
    <w:rsid w:val="0003015A"/>
    <w:rsid w:val="00042284"/>
    <w:rsid w:val="0004300B"/>
    <w:rsid w:val="00045DD5"/>
    <w:rsid w:val="000516D9"/>
    <w:rsid w:val="00052B40"/>
    <w:rsid w:val="00060044"/>
    <w:rsid w:val="0006774B"/>
    <w:rsid w:val="00082B81"/>
    <w:rsid w:val="00082C46"/>
    <w:rsid w:val="00090C3D"/>
    <w:rsid w:val="00093BAF"/>
    <w:rsid w:val="00094312"/>
    <w:rsid w:val="00096469"/>
    <w:rsid w:val="00097118"/>
    <w:rsid w:val="000A4BC3"/>
    <w:rsid w:val="000A66C6"/>
    <w:rsid w:val="000B0AC2"/>
    <w:rsid w:val="000B4DF9"/>
    <w:rsid w:val="000C35C2"/>
    <w:rsid w:val="000C3A52"/>
    <w:rsid w:val="000C53DB"/>
    <w:rsid w:val="000C5E9B"/>
    <w:rsid w:val="000D1E3D"/>
    <w:rsid w:val="000D4DBC"/>
    <w:rsid w:val="000D6BBB"/>
    <w:rsid w:val="000D7562"/>
    <w:rsid w:val="000E556D"/>
    <w:rsid w:val="000F065C"/>
    <w:rsid w:val="000F32F2"/>
    <w:rsid w:val="00101085"/>
    <w:rsid w:val="00101FE6"/>
    <w:rsid w:val="001037F4"/>
    <w:rsid w:val="001056DF"/>
    <w:rsid w:val="00117B5E"/>
    <w:rsid w:val="00120962"/>
    <w:rsid w:val="00122AC9"/>
    <w:rsid w:val="00123ED2"/>
    <w:rsid w:val="00125068"/>
    <w:rsid w:val="00125886"/>
    <w:rsid w:val="00134918"/>
    <w:rsid w:val="001460B1"/>
    <w:rsid w:val="001510A2"/>
    <w:rsid w:val="00155ABF"/>
    <w:rsid w:val="0016037A"/>
    <w:rsid w:val="0017102C"/>
    <w:rsid w:val="001719E3"/>
    <w:rsid w:val="00174895"/>
    <w:rsid w:val="00190337"/>
    <w:rsid w:val="0019535F"/>
    <w:rsid w:val="001A057A"/>
    <w:rsid w:val="001A1418"/>
    <w:rsid w:val="001A39E2"/>
    <w:rsid w:val="001A6AF1"/>
    <w:rsid w:val="001B027C"/>
    <w:rsid w:val="001B1708"/>
    <w:rsid w:val="001B288D"/>
    <w:rsid w:val="001B2E05"/>
    <w:rsid w:val="001B3134"/>
    <w:rsid w:val="001B4B9A"/>
    <w:rsid w:val="001B5912"/>
    <w:rsid w:val="001C33B8"/>
    <w:rsid w:val="001C532F"/>
    <w:rsid w:val="001E2CE7"/>
    <w:rsid w:val="001E53BF"/>
    <w:rsid w:val="001F3B95"/>
    <w:rsid w:val="001F7D63"/>
    <w:rsid w:val="00206F66"/>
    <w:rsid w:val="002108FF"/>
    <w:rsid w:val="00210EF8"/>
    <w:rsid w:val="00212161"/>
    <w:rsid w:val="00214B25"/>
    <w:rsid w:val="002158EF"/>
    <w:rsid w:val="00221505"/>
    <w:rsid w:val="00223E62"/>
    <w:rsid w:val="00225BFD"/>
    <w:rsid w:val="00226700"/>
    <w:rsid w:val="0022781D"/>
    <w:rsid w:val="00235121"/>
    <w:rsid w:val="00245FD1"/>
    <w:rsid w:val="00252D42"/>
    <w:rsid w:val="00273B85"/>
    <w:rsid w:val="00274F08"/>
    <w:rsid w:val="00286CDD"/>
    <w:rsid w:val="002978B9"/>
    <w:rsid w:val="002A178A"/>
    <w:rsid w:val="002A5310"/>
    <w:rsid w:val="002A5860"/>
    <w:rsid w:val="002A591B"/>
    <w:rsid w:val="002B0D71"/>
    <w:rsid w:val="002B337D"/>
    <w:rsid w:val="002B3FC5"/>
    <w:rsid w:val="002B57B8"/>
    <w:rsid w:val="002C1BB3"/>
    <w:rsid w:val="002C36F9"/>
    <w:rsid w:val="002C57B6"/>
    <w:rsid w:val="002D2AD4"/>
    <w:rsid w:val="002D69D5"/>
    <w:rsid w:val="002F01F3"/>
    <w:rsid w:val="002F0EB9"/>
    <w:rsid w:val="002F53A9"/>
    <w:rsid w:val="00301D18"/>
    <w:rsid w:val="003112F6"/>
    <w:rsid w:val="00311BD6"/>
    <w:rsid w:val="00314E36"/>
    <w:rsid w:val="00317395"/>
    <w:rsid w:val="003220C1"/>
    <w:rsid w:val="00323A4D"/>
    <w:rsid w:val="00336BC1"/>
    <w:rsid w:val="00336E7A"/>
    <w:rsid w:val="003447DA"/>
    <w:rsid w:val="00345AB3"/>
    <w:rsid w:val="0035524C"/>
    <w:rsid w:val="003562E5"/>
    <w:rsid w:val="0035668C"/>
    <w:rsid w:val="00356D7B"/>
    <w:rsid w:val="00357781"/>
    <w:rsid w:val="00357893"/>
    <w:rsid w:val="00360039"/>
    <w:rsid w:val="0036354D"/>
    <w:rsid w:val="003670C1"/>
    <w:rsid w:val="0036785D"/>
    <w:rsid w:val="00370471"/>
    <w:rsid w:val="00372848"/>
    <w:rsid w:val="00372898"/>
    <w:rsid w:val="003B08C5"/>
    <w:rsid w:val="003B1503"/>
    <w:rsid w:val="003B3D64"/>
    <w:rsid w:val="003C085C"/>
    <w:rsid w:val="003C5133"/>
    <w:rsid w:val="003D0B50"/>
    <w:rsid w:val="003D0DA5"/>
    <w:rsid w:val="003D1177"/>
    <w:rsid w:val="003D336C"/>
    <w:rsid w:val="003F22B5"/>
    <w:rsid w:val="003F55A4"/>
    <w:rsid w:val="00401B53"/>
    <w:rsid w:val="00401D39"/>
    <w:rsid w:val="00402FCA"/>
    <w:rsid w:val="00410159"/>
    <w:rsid w:val="00411FF2"/>
    <w:rsid w:val="00412673"/>
    <w:rsid w:val="004176CA"/>
    <w:rsid w:val="00426BAB"/>
    <w:rsid w:val="0043031D"/>
    <w:rsid w:val="00432C59"/>
    <w:rsid w:val="00437690"/>
    <w:rsid w:val="00444131"/>
    <w:rsid w:val="00447887"/>
    <w:rsid w:val="00453A2A"/>
    <w:rsid w:val="0046757C"/>
    <w:rsid w:val="00477962"/>
    <w:rsid w:val="00480D17"/>
    <w:rsid w:val="00482278"/>
    <w:rsid w:val="00486061"/>
    <w:rsid w:val="00493E3E"/>
    <w:rsid w:val="00497B40"/>
    <w:rsid w:val="004A04A5"/>
    <w:rsid w:val="004B3B0B"/>
    <w:rsid w:val="004C15A0"/>
    <w:rsid w:val="004D553A"/>
    <w:rsid w:val="004D6F26"/>
    <w:rsid w:val="00505236"/>
    <w:rsid w:val="00522069"/>
    <w:rsid w:val="0052242C"/>
    <w:rsid w:val="0052410E"/>
    <w:rsid w:val="00530293"/>
    <w:rsid w:val="00530B24"/>
    <w:rsid w:val="00530BDB"/>
    <w:rsid w:val="00541D5C"/>
    <w:rsid w:val="00551546"/>
    <w:rsid w:val="0055295C"/>
    <w:rsid w:val="005600F6"/>
    <w:rsid w:val="00560D3A"/>
    <w:rsid w:val="00560F1F"/>
    <w:rsid w:val="00567216"/>
    <w:rsid w:val="00570744"/>
    <w:rsid w:val="00574BB3"/>
    <w:rsid w:val="00575BFC"/>
    <w:rsid w:val="00576BCC"/>
    <w:rsid w:val="005A22E2"/>
    <w:rsid w:val="005B030B"/>
    <w:rsid w:val="005B2391"/>
    <w:rsid w:val="005C3776"/>
    <w:rsid w:val="005D2A41"/>
    <w:rsid w:val="005D2A57"/>
    <w:rsid w:val="005D7663"/>
    <w:rsid w:val="005E35DE"/>
    <w:rsid w:val="005F1659"/>
    <w:rsid w:val="005F4E83"/>
    <w:rsid w:val="00601BA1"/>
    <w:rsid w:val="00603548"/>
    <w:rsid w:val="00607304"/>
    <w:rsid w:val="0060767D"/>
    <w:rsid w:val="006216E0"/>
    <w:rsid w:val="006223AA"/>
    <w:rsid w:val="00622D75"/>
    <w:rsid w:val="00632475"/>
    <w:rsid w:val="006371B2"/>
    <w:rsid w:val="00644D9C"/>
    <w:rsid w:val="00646E11"/>
    <w:rsid w:val="00654C0A"/>
    <w:rsid w:val="00656E5B"/>
    <w:rsid w:val="006633C7"/>
    <w:rsid w:val="00663F04"/>
    <w:rsid w:val="00670227"/>
    <w:rsid w:val="00673B46"/>
    <w:rsid w:val="006814BD"/>
    <w:rsid w:val="00685DF0"/>
    <w:rsid w:val="0069133F"/>
    <w:rsid w:val="00691E45"/>
    <w:rsid w:val="006A5833"/>
    <w:rsid w:val="006B0E87"/>
    <w:rsid w:val="006B1AC1"/>
    <w:rsid w:val="006B340E"/>
    <w:rsid w:val="006B38C7"/>
    <w:rsid w:val="006B461D"/>
    <w:rsid w:val="006B6218"/>
    <w:rsid w:val="006C07BE"/>
    <w:rsid w:val="006C108B"/>
    <w:rsid w:val="006D608A"/>
    <w:rsid w:val="006D6AFE"/>
    <w:rsid w:val="006E0A2C"/>
    <w:rsid w:val="006F0CB1"/>
    <w:rsid w:val="006F142F"/>
    <w:rsid w:val="007016F4"/>
    <w:rsid w:val="00703993"/>
    <w:rsid w:val="00707CD5"/>
    <w:rsid w:val="007319F5"/>
    <w:rsid w:val="00731C79"/>
    <w:rsid w:val="00733248"/>
    <w:rsid w:val="0073380E"/>
    <w:rsid w:val="007339DE"/>
    <w:rsid w:val="00733F18"/>
    <w:rsid w:val="00740A84"/>
    <w:rsid w:val="00741BB2"/>
    <w:rsid w:val="00743B79"/>
    <w:rsid w:val="00750915"/>
    <w:rsid w:val="007523BC"/>
    <w:rsid w:val="00752620"/>
    <w:rsid w:val="00752C48"/>
    <w:rsid w:val="00760C27"/>
    <w:rsid w:val="00763CD4"/>
    <w:rsid w:val="00786413"/>
    <w:rsid w:val="00787B19"/>
    <w:rsid w:val="00792B2B"/>
    <w:rsid w:val="00793580"/>
    <w:rsid w:val="007A05FB"/>
    <w:rsid w:val="007A2488"/>
    <w:rsid w:val="007A6083"/>
    <w:rsid w:val="007B47CD"/>
    <w:rsid w:val="007B5260"/>
    <w:rsid w:val="007C24E7"/>
    <w:rsid w:val="007C2813"/>
    <w:rsid w:val="007D1402"/>
    <w:rsid w:val="007D1575"/>
    <w:rsid w:val="007D222A"/>
    <w:rsid w:val="007D5761"/>
    <w:rsid w:val="007E292B"/>
    <w:rsid w:val="007E4DB9"/>
    <w:rsid w:val="007E5CEC"/>
    <w:rsid w:val="007F4123"/>
    <w:rsid w:val="007F5D6E"/>
    <w:rsid w:val="007F5E64"/>
    <w:rsid w:val="007F7001"/>
    <w:rsid w:val="00800FA0"/>
    <w:rsid w:val="00803DC7"/>
    <w:rsid w:val="00805DA7"/>
    <w:rsid w:val="00812370"/>
    <w:rsid w:val="00817A8B"/>
    <w:rsid w:val="008219A1"/>
    <w:rsid w:val="0082411A"/>
    <w:rsid w:val="00830EEB"/>
    <w:rsid w:val="00841628"/>
    <w:rsid w:val="00846160"/>
    <w:rsid w:val="008467B9"/>
    <w:rsid w:val="00846C09"/>
    <w:rsid w:val="00850296"/>
    <w:rsid w:val="00851B24"/>
    <w:rsid w:val="00852794"/>
    <w:rsid w:val="00852D15"/>
    <w:rsid w:val="00853372"/>
    <w:rsid w:val="008563C5"/>
    <w:rsid w:val="00856D58"/>
    <w:rsid w:val="00862A44"/>
    <w:rsid w:val="00866424"/>
    <w:rsid w:val="00867CE8"/>
    <w:rsid w:val="00872509"/>
    <w:rsid w:val="00874931"/>
    <w:rsid w:val="00877BD2"/>
    <w:rsid w:val="00881217"/>
    <w:rsid w:val="0088431A"/>
    <w:rsid w:val="00886491"/>
    <w:rsid w:val="00896D45"/>
    <w:rsid w:val="008A060A"/>
    <w:rsid w:val="008A4687"/>
    <w:rsid w:val="008A4959"/>
    <w:rsid w:val="008A6B74"/>
    <w:rsid w:val="008B55AB"/>
    <w:rsid w:val="008B6C00"/>
    <w:rsid w:val="008B7927"/>
    <w:rsid w:val="008C0031"/>
    <w:rsid w:val="008C1110"/>
    <w:rsid w:val="008D1E0B"/>
    <w:rsid w:val="008F0CC6"/>
    <w:rsid w:val="008F789E"/>
    <w:rsid w:val="009003C6"/>
    <w:rsid w:val="00905771"/>
    <w:rsid w:val="00920796"/>
    <w:rsid w:val="0092775F"/>
    <w:rsid w:val="009305C5"/>
    <w:rsid w:val="00931A2F"/>
    <w:rsid w:val="00932DD9"/>
    <w:rsid w:val="00932F3E"/>
    <w:rsid w:val="0093302D"/>
    <w:rsid w:val="0094180D"/>
    <w:rsid w:val="009434D7"/>
    <w:rsid w:val="0095065F"/>
    <w:rsid w:val="00953A46"/>
    <w:rsid w:val="00962E3C"/>
    <w:rsid w:val="009646BB"/>
    <w:rsid w:val="00967473"/>
    <w:rsid w:val="00973090"/>
    <w:rsid w:val="00995EEC"/>
    <w:rsid w:val="00996CB3"/>
    <w:rsid w:val="009A3912"/>
    <w:rsid w:val="009A45FB"/>
    <w:rsid w:val="009B147E"/>
    <w:rsid w:val="009B63A8"/>
    <w:rsid w:val="009D08CE"/>
    <w:rsid w:val="009D26D8"/>
    <w:rsid w:val="009E1C49"/>
    <w:rsid w:val="009E4974"/>
    <w:rsid w:val="009E5FC7"/>
    <w:rsid w:val="009F06C3"/>
    <w:rsid w:val="009F5267"/>
    <w:rsid w:val="00A0501D"/>
    <w:rsid w:val="00A05C2F"/>
    <w:rsid w:val="00A204C9"/>
    <w:rsid w:val="00A23742"/>
    <w:rsid w:val="00A25758"/>
    <w:rsid w:val="00A25BB8"/>
    <w:rsid w:val="00A31AF5"/>
    <w:rsid w:val="00A3247B"/>
    <w:rsid w:val="00A51243"/>
    <w:rsid w:val="00A55C78"/>
    <w:rsid w:val="00A64055"/>
    <w:rsid w:val="00A64189"/>
    <w:rsid w:val="00A64DE3"/>
    <w:rsid w:val="00A70978"/>
    <w:rsid w:val="00A72CF3"/>
    <w:rsid w:val="00A76E49"/>
    <w:rsid w:val="00A8023C"/>
    <w:rsid w:val="00A81AEA"/>
    <w:rsid w:val="00A82A45"/>
    <w:rsid w:val="00A845A9"/>
    <w:rsid w:val="00A86958"/>
    <w:rsid w:val="00A87CDA"/>
    <w:rsid w:val="00A900A1"/>
    <w:rsid w:val="00A9340A"/>
    <w:rsid w:val="00AA0696"/>
    <w:rsid w:val="00AA0D2B"/>
    <w:rsid w:val="00AA19DC"/>
    <w:rsid w:val="00AA2125"/>
    <w:rsid w:val="00AA2696"/>
    <w:rsid w:val="00AA472B"/>
    <w:rsid w:val="00AA5651"/>
    <w:rsid w:val="00AA5848"/>
    <w:rsid w:val="00AA5CCA"/>
    <w:rsid w:val="00AA7750"/>
    <w:rsid w:val="00AB2D49"/>
    <w:rsid w:val="00AC68E7"/>
    <w:rsid w:val="00AD1FC8"/>
    <w:rsid w:val="00AD65F1"/>
    <w:rsid w:val="00AE064D"/>
    <w:rsid w:val="00AE50E6"/>
    <w:rsid w:val="00AE5707"/>
    <w:rsid w:val="00AE6D4A"/>
    <w:rsid w:val="00AF056B"/>
    <w:rsid w:val="00AF16F4"/>
    <w:rsid w:val="00AF3AB7"/>
    <w:rsid w:val="00AF7915"/>
    <w:rsid w:val="00B01EC0"/>
    <w:rsid w:val="00B02B87"/>
    <w:rsid w:val="00B049B1"/>
    <w:rsid w:val="00B04BBC"/>
    <w:rsid w:val="00B113CE"/>
    <w:rsid w:val="00B239BA"/>
    <w:rsid w:val="00B32E24"/>
    <w:rsid w:val="00B35B3E"/>
    <w:rsid w:val="00B468BB"/>
    <w:rsid w:val="00B477BF"/>
    <w:rsid w:val="00B55ED4"/>
    <w:rsid w:val="00B56852"/>
    <w:rsid w:val="00B645E3"/>
    <w:rsid w:val="00B65B3B"/>
    <w:rsid w:val="00B665F8"/>
    <w:rsid w:val="00B7626C"/>
    <w:rsid w:val="00B816B5"/>
    <w:rsid w:val="00B81F17"/>
    <w:rsid w:val="00BB2D58"/>
    <w:rsid w:val="00BB589E"/>
    <w:rsid w:val="00BB5A14"/>
    <w:rsid w:val="00BC142D"/>
    <w:rsid w:val="00BD017F"/>
    <w:rsid w:val="00BD5B6F"/>
    <w:rsid w:val="00BE3253"/>
    <w:rsid w:val="00BE65C4"/>
    <w:rsid w:val="00BF35DC"/>
    <w:rsid w:val="00BF44F4"/>
    <w:rsid w:val="00C0300A"/>
    <w:rsid w:val="00C10953"/>
    <w:rsid w:val="00C16C5A"/>
    <w:rsid w:val="00C16F51"/>
    <w:rsid w:val="00C22D17"/>
    <w:rsid w:val="00C30052"/>
    <w:rsid w:val="00C43B4A"/>
    <w:rsid w:val="00C46011"/>
    <w:rsid w:val="00C60E86"/>
    <w:rsid w:val="00C644B5"/>
    <w:rsid w:val="00C64FA5"/>
    <w:rsid w:val="00C65E5A"/>
    <w:rsid w:val="00C758F2"/>
    <w:rsid w:val="00C75E74"/>
    <w:rsid w:val="00C779D5"/>
    <w:rsid w:val="00C77F37"/>
    <w:rsid w:val="00C84A12"/>
    <w:rsid w:val="00C86BBD"/>
    <w:rsid w:val="00C94D30"/>
    <w:rsid w:val="00C970D3"/>
    <w:rsid w:val="00CA6780"/>
    <w:rsid w:val="00CB1882"/>
    <w:rsid w:val="00CB1FEA"/>
    <w:rsid w:val="00CC66B8"/>
    <w:rsid w:val="00CC71CE"/>
    <w:rsid w:val="00CD1EDD"/>
    <w:rsid w:val="00CD3E1F"/>
    <w:rsid w:val="00CE7B76"/>
    <w:rsid w:val="00CF3DC5"/>
    <w:rsid w:val="00CF5B40"/>
    <w:rsid w:val="00CF774C"/>
    <w:rsid w:val="00D017E2"/>
    <w:rsid w:val="00D02F5D"/>
    <w:rsid w:val="00D16D97"/>
    <w:rsid w:val="00D20AF7"/>
    <w:rsid w:val="00D27F42"/>
    <w:rsid w:val="00D34250"/>
    <w:rsid w:val="00D42CA6"/>
    <w:rsid w:val="00D50867"/>
    <w:rsid w:val="00D549E5"/>
    <w:rsid w:val="00D55007"/>
    <w:rsid w:val="00D7111A"/>
    <w:rsid w:val="00D75E72"/>
    <w:rsid w:val="00D84713"/>
    <w:rsid w:val="00DB0926"/>
    <w:rsid w:val="00DB4EB0"/>
    <w:rsid w:val="00DB6462"/>
    <w:rsid w:val="00DB680D"/>
    <w:rsid w:val="00DC7600"/>
    <w:rsid w:val="00DD4B82"/>
    <w:rsid w:val="00E03AAE"/>
    <w:rsid w:val="00E1556F"/>
    <w:rsid w:val="00E15D48"/>
    <w:rsid w:val="00E1638F"/>
    <w:rsid w:val="00E16427"/>
    <w:rsid w:val="00E27614"/>
    <w:rsid w:val="00E32C48"/>
    <w:rsid w:val="00E3419E"/>
    <w:rsid w:val="00E373FF"/>
    <w:rsid w:val="00E40618"/>
    <w:rsid w:val="00E47B1A"/>
    <w:rsid w:val="00E511FB"/>
    <w:rsid w:val="00E53405"/>
    <w:rsid w:val="00E535D5"/>
    <w:rsid w:val="00E53CF9"/>
    <w:rsid w:val="00E55264"/>
    <w:rsid w:val="00E60340"/>
    <w:rsid w:val="00E610A4"/>
    <w:rsid w:val="00E631B1"/>
    <w:rsid w:val="00E63946"/>
    <w:rsid w:val="00E645A5"/>
    <w:rsid w:val="00E7103E"/>
    <w:rsid w:val="00E72941"/>
    <w:rsid w:val="00E7464E"/>
    <w:rsid w:val="00E7772F"/>
    <w:rsid w:val="00E85240"/>
    <w:rsid w:val="00E8756E"/>
    <w:rsid w:val="00EA4E33"/>
    <w:rsid w:val="00EA5290"/>
    <w:rsid w:val="00EA719C"/>
    <w:rsid w:val="00EA7E8B"/>
    <w:rsid w:val="00EB248F"/>
    <w:rsid w:val="00EB38C3"/>
    <w:rsid w:val="00EB417D"/>
    <w:rsid w:val="00EB5F93"/>
    <w:rsid w:val="00EC0548"/>
    <w:rsid w:val="00EC0568"/>
    <w:rsid w:val="00EC1635"/>
    <w:rsid w:val="00EC34D3"/>
    <w:rsid w:val="00EC3D6B"/>
    <w:rsid w:val="00EC6ACC"/>
    <w:rsid w:val="00EC7C59"/>
    <w:rsid w:val="00ED47E7"/>
    <w:rsid w:val="00EE721A"/>
    <w:rsid w:val="00EE723E"/>
    <w:rsid w:val="00EE7591"/>
    <w:rsid w:val="00EF085D"/>
    <w:rsid w:val="00EF3DE1"/>
    <w:rsid w:val="00EF4081"/>
    <w:rsid w:val="00EF7F15"/>
    <w:rsid w:val="00F00E77"/>
    <w:rsid w:val="00F0272E"/>
    <w:rsid w:val="00F057A4"/>
    <w:rsid w:val="00F06475"/>
    <w:rsid w:val="00F1092C"/>
    <w:rsid w:val="00F12A82"/>
    <w:rsid w:val="00F2438B"/>
    <w:rsid w:val="00F36676"/>
    <w:rsid w:val="00F41931"/>
    <w:rsid w:val="00F45F3F"/>
    <w:rsid w:val="00F47505"/>
    <w:rsid w:val="00F60A47"/>
    <w:rsid w:val="00F722A3"/>
    <w:rsid w:val="00F73739"/>
    <w:rsid w:val="00F73D0D"/>
    <w:rsid w:val="00F81C33"/>
    <w:rsid w:val="00F82DC1"/>
    <w:rsid w:val="00F923C2"/>
    <w:rsid w:val="00F9546B"/>
    <w:rsid w:val="00F97613"/>
    <w:rsid w:val="00FA04BC"/>
    <w:rsid w:val="00FA3B90"/>
    <w:rsid w:val="00FA756B"/>
    <w:rsid w:val="00FB03E6"/>
    <w:rsid w:val="00FB390D"/>
    <w:rsid w:val="00FB5DEA"/>
    <w:rsid w:val="00FB76C8"/>
    <w:rsid w:val="00FC27C8"/>
    <w:rsid w:val="00FC4C8F"/>
    <w:rsid w:val="00FD0E78"/>
    <w:rsid w:val="00FD34FC"/>
    <w:rsid w:val="00FE04A4"/>
    <w:rsid w:val="00FE47EB"/>
    <w:rsid w:val="00FF0966"/>
    <w:rsid w:val="19F1D60B"/>
    <w:rsid w:val="1CC0B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057A4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C77F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F37"/>
  </w:style>
  <w:style w:type="character" w:customStyle="1" w:styleId="eop">
    <w:name w:val="eop"/>
    <w:basedOn w:val="DefaultParagraphFont"/>
    <w:rsid w:val="00C77F37"/>
  </w:style>
  <w:style w:type="character" w:styleId="CommentReference">
    <w:name w:val="annotation reference"/>
    <w:basedOn w:val="DefaultParagraphFont"/>
    <w:semiHidden/>
    <w:unhideWhenUsed/>
    <w:rsid w:val="00372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84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848"/>
    <w:rPr>
      <w:rFonts w:ascii="TradeGothic" w:hAnsi="TradeGothic"/>
      <w:b/>
      <w:bCs/>
      <w:lang w:eastAsia="en-US"/>
    </w:rPr>
  </w:style>
  <w:style w:type="paragraph" w:customStyle="1" w:styleId="MillerTableTitle">
    <w:name w:val="Miller Table Title"/>
    <w:basedOn w:val="Normal"/>
    <w:uiPriority w:val="1"/>
    <w:qFormat/>
    <w:rsid w:val="00632475"/>
    <w:pPr>
      <w:spacing w:after="120" w:line="259" w:lineRule="auto"/>
    </w:pPr>
    <w:rPr>
      <w:rFonts w:ascii="Arial" w:eastAsiaTheme="majorEastAsia" w:hAnsi="Arial" w:cstheme="majorBidi"/>
      <w:b/>
      <w:bCs/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8431A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y-cynllun-ffermio-cynaliadwy-panel-adolygu-tystiolaeth-atafaelu-carbon-adroddiad-crynode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cynllun-ffermio-cynaliadwy-amlinelliad-or-cynllun-gynigir-2024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A55880086</value>
    </field>
    <field name="Objective-Title">
      <value order="0">Written Statement - Revised Scheme Outline - Nov 2024 - V10 - FINAL - Welsh</value>
    </field>
    <field name="Objective-Description">
      <value order="0"/>
    </field>
    <field name="Objective-CreationStamp">
      <value order="0">2024-11-22T16:28:29Z</value>
    </field>
    <field name="Objective-IsApproved">
      <value order="0">false</value>
    </field>
    <field name="Objective-IsPublished">
      <value order="0">true</value>
    </field>
    <field name="Objective-DatePublished">
      <value order="0">2024-11-22T16:28:39Z</value>
    </field>
    <field name="Objective-ModificationStamp">
      <value order="0">2024-11-22T16:28:39Z</value>
    </field>
    <field name="Objective-Owner">
      <value order="0">Edwards, Cerys (LGHCCRA - Land, Nature &amp; Food - Land Management Reform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</value>
    </field>
    <field name="Objective-Parent">
      <value order="0">Written Statement - Revised Scheme Outline November 2024</value>
    </field>
    <field name="Objective-State">
      <value order="0">Published</value>
    </field>
    <field name="Objective-VersionId">
      <value order="0">vA101597628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qA2127570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68076E-24CF-4E4D-B073-42BEC0643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6602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2024-07-03T11:33:00Z</cp:lastPrinted>
  <dcterms:created xsi:type="dcterms:W3CDTF">2024-11-25T09:43:00Z</dcterms:created>
  <dcterms:modified xsi:type="dcterms:W3CDTF">2024-11-25T09:43:00Z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A55880086</vt:lpwstr>
  </property>
  <property fmtid="{D5CDD505-2E9C-101B-9397-08002B2CF9AE}" pid="4" name="Objective-Title">
    <vt:lpwstr>Written Statement - Revised Scheme Outline - Nov 2024 - V10 - FINAL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2024-11-22T16:28:29Z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2024-11-22T16:28:39Z</vt:filetime>
  </property>
  <property fmtid="{D5CDD505-2E9C-101B-9397-08002B2CF9AE}" pid="10" name="Objective-ModificationStamp">
    <vt:filetime>2024-11-22T16:28:39Z</vt:filetime>
  </property>
  <property fmtid="{D5CDD505-2E9C-101B-9397-08002B2CF9AE}" pid="11" name="Objective-Owner">
    <vt:lpwstr>Edwards, Cerys (LGHCCRA - Land, Nature &amp; Food - Land Management Reform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2024:</vt:lpwstr>
  </property>
  <property fmtid="{D5CDD505-2E9C-101B-9397-08002B2CF9AE}" pid="13" name="Objective-Parent">
    <vt:lpwstr>Written Statement - Revised Scheme Outline November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vA101597628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