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D1C77" w14:textId="77777777" w:rsidR="001A39E2" w:rsidRDefault="001A39E2" w:rsidP="001A39E2">
      <w:pPr>
        <w:jc w:val="right"/>
        <w:rPr>
          <w:b/>
        </w:rPr>
      </w:pPr>
    </w:p>
    <w:p w14:paraId="0EB9DDFF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F700A1" wp14:editId="35DFC56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9CC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B862E2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5A5F9B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B6ACADC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AF535C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A5D57D" wp14:editId="48FC160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55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C1D2E04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F2DBCD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B530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D0BE2" w14:textId="77777777" w:rsidR="003C4920" w:rsidRPr="00652920" w:rsidRDefault="00652920" w:rsidP="00652920">
            <w:pPr>
              <w:rPr>
                <w:rFonts w:ascii="Arial" w:hAnsi="Arial" w:cs="Arial"/>
                <w:sz w:val="24"/>
                <w:szCs w:val="24"/>
              </w:rPr>
            </w:pPr>
            <w:r w:rsidRPr="006529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Rheoliadau’r Amgylchedd (Swyddogaethau Deddfwriaethol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o Gyfarwyddebau) (Ymadael Â’r UE</w:t>
            </w:r>
            <w:r w:rsidRPr="006529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) 2019 </w:t>
            </w:r>
          </w:p>
        </w:tc>
      </w:tr>
      <w:tr w:rsidR="00817906" w:rsidRPr="00A011A1" w14:paraId="722DD65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230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CA76" w14:textId="136117E2" w:rsidR="00817906" w:rsidRPr="004F23E1" w:rsidRDefault="0027401B" w:rsidP="006529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6529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Mehefin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5E8FC1B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169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F3E0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4C07BEE2" w14:textId="77777777" w:rsidR="00652920" w:rsidRDefault="00652920" w:rsidP="00652920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  <w:lang w:val="cy-GB"/>
        </w:rPr>
      </w:pPr>
    </w:p>
    <w:p w14:paraId="6032B46C" w14:textId="77777777" w:rsidR="00652920" w:rsidRPr="00652920" w:rsidRDefault="00652920" w:rsidP="00652920">
      <w:pPr>
        <w:rPr>
          <w:rFonts w:ascii="Arial" w:hAnsi="Arial" w:cs="Arial"/>
          <w:sz w:val="24"/>
          <w:szCs w:val="24"/>
        </w:rPr>
      </w:pPr>
      <w:r w:rsidRPr="00652920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Rheoliadau’r Amgylchedd (Swyddogaethau Deddfwriaethol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o Gyfarwyddebau) (Ymadael Â’r UE</w:t>
      </w:r>
      <w:r w:rsidRPr="00652920"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 xml:space="preserve">) 2019 </w:t>
      </w:r>
    </w:p>
    <w:p w14:paraId="144088A6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</w:rPr>
      </w:pPr>
    </w:p>
    <w:p w14:paraId="0AC713FC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</w:rPr>
      </w:pPr>
      <w:r w:rsidRPr="00652920">
        <w:rPr>
          <w:rFonts w:ascii="Arial" w:hAnsi="Arial" w:cs="Arial"/>
          <w:b/>
          <w:bCs/>
          <w:sz w:val="24"/>
          <w:szCs w:val="24"/>
          <w:lang w:val="cy-GB"/>
        </w:rPr>
        <w:t>Golwg Gyffredinol ar y Polisi yn yr OS</w:t>
      </w:r>
    </w:p>
    <w:p w14:paraId="12566F8F" w14:textId="77777777" w:rsidR="00652920" w:rsidRPr="00652920" w:rsidRDefault="00652920" w:rsidP="00652920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Mae Rheoliadau 2019 yn mynd i'r afael â methiant cyfraith yr UE a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 i weithio’n effeithiol ac â diffygion eraill a fydd yn deillio o ymadawiad y DU â’r Undeb Ewropeaidd.</w:t>
      </w:r>
    </w:p>
    <w:p w14:paraId="19027F98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</w:rPr>
      </w:pPr>
    </w:p>
    <w:p w14:paraId="0FE59801" w14:textId="77777777" w:rsidR="00652920" w:rsidRPr="00652920" w:rsidRDefault="00652920" w:rsidP="00652920">
      <w:pPr>
        <w:rPr>
          <w:rFonts w:ascii="Arial" w:hAnsi="Arial" w:cs="Arial"/>
          <w:sz w:val="24"/>
          <w:szCs w:val="24"/>
          <w:u w:val="single"/>
        </w:rPr>
      </w:pPr>
      <w:r w:rsidRPr="00652920">
        <w:rPr>
          <w:rFonts w:ascii="Arial" w:hAnsi="Arial" w:cs="Arial"/>
          <w:sz w:val="24"/>
          <w:szCs w:val="24"/>
          <w:u w:val="single"/>
          <w:lang w:val="cy-GB"/>
        </w:rPr>
        <w:t>Offerynnau Ewropeaidd sy'n Uniongyrchol Gymwysadwy a ddiwygir gan Reoliadau 2019</w:t>
      </w:r>
    </w:p>
    <w:p w14:paraId="76051129" w14:textId="77777777" w:rsidR="00652920" w:rsidRPr="00652920" w:rsidRDefault="00652920" w:rsidP="00652920">
      <w:pPr>
        <w:rPr>
          <w:rFonts w:ascii="Arial" w:hAnsi="Arial" w:cs="Arial"/>
          <w:sz w:val="24"/>
          <w:szCs w:val="24"/>
          <w:u w:val="single"/>
        </w:rPr>
      </w:pPr>
    </w:p>
    <w:p w14:paraId="3B7057F1" w14:textId="77777777" w:rsidR="00652920" w:rsidRPr="00652920" w:rsidRDefault="00652920" w:rsidP="00652920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Cyfarwyddeb y Cyngor 2004/42/CE Senedd Ewrop a'r Cyngor ar gyfyngu ar allyriadau cyfansoddion organig anweddol, sydd â'r nod o leihau’r cyfansoddion organig anweddol mewn mathau penodol o baentiau a farneisiau, ac mewn cynhyrchion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ailorffen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 cerbydau, er mwyn atal neu leihau llygredd aer sy'n ganlyniad i'r cyfraniad y mae cyfansoddion organig anweddol yn ei wneud at ffurfio osôn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troposfforig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>.</w:t>
      </w:r>
    </w:p>
    <w:p w14:paraId="5FEA90BD" w14:textId="77777777" w:rsidR="00652920" w:rsidRPr="00652920" w:rsidRDefault="00652920" w:rsidP="0065292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4BF9AD8" w14:textId="77777777" w:rsidR="00652920" w:rsidRPr="00652920" w:rsidRDefault="00652920" w:rsidP="00652920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Cyfarwyddeb y Cyngor 2008/50/EC Senedd Ewrop a'r Cyngor ar ansawdd aer amgylchynol ac aer glanach ar gyfer Ewrop, sy’n pennu terfynau sy'n rhwymo mewn cyfraith ar gyfer crynodiadau o'r prif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lygryddion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 aer sy'n effeithio ar iechyd pobl, megis deunydd gronynnol a nitrogen deuocsid (NO</w:t>
      </w:r>
      <w:r w:rsidRPr="00652920">
        <w:rPr>
          <w:rFonts w:ascii="Arial" w:hAnsi="Arial" w:cs="Arial"/>
          <w:sz w:val="24"/>
          <w:szCs w:val="24"/>
          <w:vertAlign w:val="subscript"/>
          <w:lang w:val="cy-GB"/>
        </w:rPr>
        <w:t>2</w:t>
      </w:r>
      <w:r w:rsidRPr="00652920">
        <w:rPr>
          <w:rFonts w:ascii="Arial" w:hAnsi="Arial" w:cs="Arial"/>
          <w:sz w:val="24"/>
          <w:szCs w:val="24"/>
          <w:lang w:val="cy-GB"/>
        </w:rPr>
        <w:t xml:space="preserve">), mewn aer y tu allan. </w:t>
      </w:r>
      <w:r w:rsidRPr="00652920">
        <w:rPr>
          <w:rFonts w:ascii="Arial" w:hAnsi="Arial" w:cs="Arial"/>
          <w:sz w:val="24"/>
          <w:szCs w:val="24"/>
          <w:lang w:val="cy-GB"/>
        </w:rPr>
        <w:br/>
      </w:r>
    </w:p>
    <w:p w14:paraId="05A437CC" w14:textId="77777777" w:rsidR="00652920" w:rsidRPr="00652920" w:rsidRDefault="00652920" w:rsidP="00652920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>Cyfarwyddeb y Cyngor 2010/75/EU Senedd Ewrop a'r Cyngor ar allyriadau diwydiannol (atal a rheoli llygredd mewn ffordd integredig), sy'n pennu rheolau ar atal a rheoli mewn ffordd integredig lygredd sy'n deillio o weithgareddau diwydiannol penodol.</w:t>
      </w:r>
    </w:p>
    <w:p w14:paraId="07FD5319" w14:textId="77777777" w:rsidR="00652920" w:rsidRPr="00652920" w:rsidRDefault="00652920" w:rsidP="0065292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C698C39" w14:textId="77777777" w:rsidR="00652920" w:rsidRPr="00652920" w:rsidRDefault="00652920" w:rsidP="00652920">
      <w:pPr>
        <w:pStyle w:val="ListParagraph"/>
        <w:numPr>
          <w:ilvl w:val="0"/>
          <w:numId w:val="13"/>
        </w:numPr>
        <w:ind w:left="714" w:hanging="357"/>
        <w:contextualSpacing/>
        <w:rPr>
          <w:rFonts w:ascii="Arial" w:hAnsi="Arial" w:cs="Arial"/>
          <w:b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>Cyfarwyddeb y Cyngor 2015/2193/EU Senedd Ewrop a'r Cyngor ar gyfyngu ar allyrru llygryddion penodol i'r aer o weithfeydd hylosgi canolig, sy'n pennu rheolau ar gyfer rheoli allyriadau sylffwr deuocsid (SO</w:t>
      </w:r>
      <w:r w:rsidRPr="00652920">
        <w:rPr>
          <w:rFonts w:ascii="Arial" w:hAnsi="Arial" w:cs="Arial"/>
          <w:sz w:val="24"/>
          <w:szCs w:val="24"/>
          <w:vertAlign w:val="subscript"/>
          <w:lang w:val="cy-GB"/>
        </w:rPr>
        <w:t>2</w:t>
      </w:r>
      <w:r w:rsidRPr="00652920">
        <w:rPr>
          <w:rFonts w:ascii="Arial" w:hAnsi="Arial" w:cs="Arial"/>
          <w:sz w:val="24"/>
          <w:szCs w:val="24"/>
          <w:lang w:val="cy-GB"/>
        </w:rPr>
        <w:t>), ocsidau nitrogen (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NOx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) a llwch i'r aer o weithfeydd hylosgi canolig, a rheolau i fonitro allyriadau carbon monocsid (CO).  </w:t>
      </w:r>
    </w:p>
    <w:p w14:paraId="18352BA5" w14:textId="77777777" w:rsidR="00652920" w:rsidRPr="00652920" w:rsidRDefault="00652920" w:rsidP="0065292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AD8109D" w14:textId="77777777" w:rsidR="00652920" w:rsidRPr="00652920" w:rsidRDefault="00652920" w:rsidP="00652920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Cyfarwyddeb y Cyngor 2016/2284/EU Senedd Ewrop a'r Cyngor ar leihau allyriadau cenedlaethol o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lygryddion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 atmosfferig penodol, sy'n pennu ymrwymiadau'r Aelod-wladwriaethau i leihau allyriadau atmosfferig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anthropogenig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 o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lygryddion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 penodedig, sy'n ei gwneud yn ofynnol iddynt lunio, mabwysiadu a gweithredu rhaglenni cenedlaethol i reoli llygredd aer, ac i fonitro ac adrodd ar allyriadau o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lygryddion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 penodedig a'u heffeithiau.  </w:t>
      </w:r>
    </w:p>
    <w:p w14:paraId="5E022F4D" w14:textId="77777777" w:rsidR="00652920" w:rsidRPr="00652920" w:rsidRDefault="00652920" w:rsidP="0065292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4DD75C4" w14:textId="77777777" w:rsidR="00652920" w:rsidRPr="00652920" w:rsidRDefault="00652920" w:rsidP="00652920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Cyfarwyddeb y Cyngor 2002/49/EC Senedd Ewrop a'r Cyngor, dyddiedig 25 Mehefin 2002, sy'n ymwneud ag asesu a rheoli sŵn amgylcheddol, ac sy'n diffinio dull cyffredin o weithredu er mwyn osgoi, atal neu leihau, ar sail blaenoriaeth, yr effeithiau niweidiol, gan gynnwys annifyrrwch, sy'n gysylltiedig â dod i gysylltiad â sŵn amgylcheddol.  </w:t>
      </w:r>
    </w:p>
    <w:p w14:paraId="0EFB9D0C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</w:rPr>
      </w:pPr>
    </w:p>
    <w:p w14:paraId="65C49BB7" w14:textId="77777777" w:rsidR="00652920" w:rsidRPr="00652920" w:rsidRDefault="00652920" w:rsidP="00652920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b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Cyfarwyddeb y Cyngor 2007/2/EC Senedd Ewrop a'r Cyngor, dyddiedig 14 Mawrth 2007, sy'n sefydlu Seilwaith ar gyfer Gwybodaeth Ofodol yn y Gymuned Ewropeaidd (INSPIRE), sy'n pennu rheolau cyffredinol ar gyfer sefydlu INSPIRE, er budd polisïau amgylcheddol y Gymuned a pholisïau neu weithgareddau a allai gael effaith ar yr amgylchedd.  </w:t>
      </w:r>
    </w:p>
    <w:p w14:paraId="4296AAD3" w14:textId="77777777" w:rsidR="00652920" w:rsidRPr="00652920" w:rsidRDefault="00652920" w:rsidP="00652920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9243759" w14:textId="77777777" w:rsidR="00652920" w:rsidRPr="00652920" w:rsidRDefault="00652920" w:rsidP="00652920">
      <w:pPr>
        <w:pStyle w:val="EMLevel1Paragraph"/>
        <w:numPr>
          <w:ilvl w:val="0"/>
          <w:numId w:val="14"/>
        </w:numPr>
        <w:spacing w:before="0" w:after="0"/>
        <w:ind w:left="709"/>
        <w:rPr>
          <w:rFonts w:ascii="Arial" w:hAnsi="Arial"/>
          <w:szCs w:val="24"/>
          <w:lang w:val="cy-GB"/>
        </w:rPr>
      </w:pPr>
      <w:r w:rsidRPr="00652920">
        <w:rPr>
          <w:rFonts w:ascii="Arial" w:hAnsi="Arial"/>
          <w:szCs w:val="24"/>
          <w:lang w:val="cy-GB"/>
        </w:rPr>
        <w:t xml:space="preserve">Cyfarwyddeb y Cyngor 2008/56/EC Senedd Ewrop a'r Cyngor, dyddiedig 17 Mehefin 2008, sy’n sefydlu fframwaith ar gyfer gweithredu gan y Gymuned ym maes polisi amgylcheddol morol, sy'n sefydlu fframwaith i'r Aelod-wladwriaethau fedru cymryd y camau angenrheidiol i gyrraedd neu i gynnal statws amgylcheddol da yn yr amgylchedd morol erbyn y flwyddyn 2020 fan </w:t>
      </w:r>
      <w:proofErr w:type="spellStart"/>
      <w:r w:rsidRPr="00652920">
        <w:rPr>
          <w:rFonts w:ascii="Arial" w:hAnsi="Arial"/>
          <w:szCs w:val="24"/>
          <w:lang w:val="cy-GB"/>
        </w:rPr>
        <w:t>hwyraf</w:t>
      </w:r>
      <w:proofErr w:type="spellEnd"/>
      <w:r w:rsidRPr="00652920">
        <w:rPr>
          <w:rFonts w:ascii="Arial" w:hAnsi="Arial"/>
          <w:szCs w:val="24"/>
          <w:lang w:val="cy-GB"/>
        </w:rPr>
        <w:t xml:space="preserve">. </w:t>
      </w:r>
    </w:p>
    <w:p w14:paraId="6D6C0AE0" w14:textId="77777777" w:rsidR="00652920" w:rsidRPr="00652920" w:rsidRDefault="00652920" w:rsidP="00652920">
      <w:pPr>
        <w:pStyle w:val="EMLevel1Paragraph"/>
        <w:numPr>
          <w:ilvl w:val="0"/>
          <w:numId w:val="0"/>
        </w:numPr>
        <w:spacing w:before="0" w:after="0"/>
        <w:ind w:left="120"/>
        <w:rPr>
          <w:rFonts w:ascii="Arial" w:hAnsi="Arial"/>
          <w:szCs w:val="24"/>
        </w:rPr>
      </w:pPr>
    </w:p>
    <w:p w14:paraId="64EA2065" w14:textId="77777777" w:rsidR="00652920" w:rsidRPr="00652920" w:rsidRDefault="00652920" w:rsidP="00652920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652920">
        <w:rPr>
          <w:rFonts w:ascii="Arial" w:hAnsi="Arial"/>
          <w:szCs w:val="24"/>
          <w:lang w:val="cy-GB"/>
        </w:rPr>
        <w:t xml:space="preserve">Cyfarwyddeb y Cyngor 2000/60/EC Senedd Ewrop a'r Cyngor dyddiedig 23 Hydref 2000, sy’n sefydlu fframwaith ar gyfer gweithredu gan y Gymuned ym maes polisi dwr, sydd â'r nod o sefydlu fframwaith ar gyfer gwarchod dyfroedd wyneb mewndirol, dyfroedd trosiannol, dyfroedd arfordirol a dŵr daear.   </w:t>
      </w:r>
    </w:p>
    <w:p w14:paraId="04E9A7A0" w14:textId="77777777" w:rsidR="00652920" w:rsidRPr="00652920" w:rsidRDefault="00652920" w:rsidP="00652920">
      <w:pPr>
        <w:pStyle w:val="ListParagraph"/>
        <w:rPr>
          <w:rFonts w:ascii="Arial" w:hAnsi="Arial" w:cs="Arial"/>
          <w:sz w:val="24"/>
          <w:szCs w:val="24"/>
        </w:rPr>
      </w:pPr>
    </w:p>
    <w:p w14:paraId="12D04BF1" w14:textId="77777777" w:rsidR="00652920" w:rsidRPr="00652920" w:rsidRDefault="00652920" w:rsidP="00652920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652920">
        <w:rPr>
          <w:rFonts w:ascii="Arial" w:hAnsi="Arial"/>
          <w:szCs w:val="24"/>
          <w:lang w:val="cy-GB"/>
        </w:rPr>
        <w:t xml:space="preserve">Cyfarwyddeb y Cyngor 2006/118/EC Senedd Ewrop a'r Cyngor dyddiedig 12 Rhagfyr 2006 ar ddiogelu dŵr daear rhag llygredd a rhag dirywio, sy'n sefydlu mesurau penodol i atal dŵr daear rhag cael ei lygru a'i ddisbyddu, ac i reoli hynny.   </w:t>
      </w:r>
    </w:p>
    <w:p w14:paraId="5BFE1379" w14:textId="77777777" w:rsidR="00652920" w:rsidRPr="00652920" w:rsidRDefault="00652920" w:rsidP="00652920">
      <w:pPr>
        <w:pStyle w:val="ListParagraph"/>
        <w:rPr>
          <w:rFonts w:ascii="Arial" w:hAnsi="Arial" w:cs="Arial"/>
          <w:sz w:val="24"/>
          <w:szCs w:val="24"/>
        </w:rPr>
      </w:pPr>
    </w:p>
    <w:p w14:paraId="3D3DE844" w14:textId="77777777" w:rsidR="00652920" w:rsidRPr="00652920" w:rsidRDefault="00652920" w:rsidP="00652920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652920">
        <w:rPr>
          <w:rFonts w:ascii="Arial" w:hAnsi="Arial"/>
          <w:szCs w:val="24"/>
          <w:lang w:val="cy-GB"/>
        </w:rPr>
        <w:t xml:space="preserve">Cyfarwyddeb y Cyngor 2008/105/EC Senedd Ewrop a'r Cyngor dyddiedig 16 Rhagfyr 2008 ar safonau ansawdd amgylcheddol ym maes polisi dŵr, sy'n pennu safonau ansawdd amgylcheddol ar gyfer sylweddau â blaenoriaeth ac ar gyfer llygryddion penodol eraill fel y darperir ar gyfer hynny yn y Gyfarwyddeb Fframwaith Dŵr (y Gyfarwyddeb “Safonau Ansawdd Amgylcheddol”), gyda'r nod o sicrhau bod statws cemegol dŵr wyneb yn dda.  </w:t>
      </w:r>
    </w:p>
    <w:p w14:paraId="0B045458" w14:textId="77777777" w:rsidR="00652920" w:rsidRPr="00652920" w:rsidRDefault="00652920" w:rsidP="00652920">
      <w:pPr>
        <w:pStyle w:val="ListParagraph"/>
        <w:rPr>
          <w:rFonts w:ascii="Arial" w:hAnsi="Arial" w:cs="Arial"/>
          <w:sz w:val="24"/>
          <w:szCs w:val="24"/>
        </w:rPr>
      </w:pPr>
    </w:p>
    <w:p w14:paraId="40246D10" w14:textId="77777777" w:rsidR="00652920" w:rsidRPr="00652920" w:rsidRDefault="00652920" w:rsidP="00652920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652920">
        <w:rPr>
          <w:rFonts w:ascii="Arial" w:hAnsi="Arial"/>
          <w:szCs w:val="24"/>
          <w:lang w:val="cy-GB"/>
        </w:rPr>
        <w:t xml:space="preserve">Cyfarwyddeb y Cyngor 2006/7/EC Senedd Ewrop a'r Cyngor dyddiedig 15 Mawrth 2006 ynghylch rheoli ansawdd dŵr ymdrochi, sydd â'r nod o ddiogelu, gwarchod a gwella ansawdd dyfroedd ymdrochi.  </w:t>
      </w:r>
    </w:p>
    <w:p w14:paraId="5078E863" w14:textId="77777777" w:rsidR="00652920" w:rsidRPr="00652920" w:rsidRDefault="00652920" w:rsidP="00652920">
      <w:pPr>
        <w:pStyle w:val="ListParagraph"/>
        <w:rPr>
          <w:rFonts w:ascii="Arial" w:hAnsi="Arial" w:cs="Arial"/>
          <w:sz w:val="24"/>
          <w:szCs w:val="24"/>
        </w:rPr>
      </w:pPr>
    </w:p>
    <w:p w14:paraId="4977F52E" w14:textId="77777777" w:rsidR="00652920" w:rsidRPr="00652920" w:rsidRDefault="00652920" w:rsidP="00652920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652920">
        <w:rPr>
          <w:rFonts w:ascii="Arial" w:hAnsi="Arial"/>
          <w:szCs w:val="24"/>
          <w:lang w:val="cy-GB"/>
        </w:rPr>
        <w:t xml:space="preserve">Cyfarwyddeb y Cyngor 98/83/EC dyddiedig 3 Tachwedd 1998 ar ansawdd dŵr y bwriedir iddo gael ei yfed gan bobl, sydd â'r nod o ddiogelu iechyd pobl rhag effeithiau niweidiol unrhyw achos o halogi dŵr y bwriedir iddo gael ei yfed gan bobl drwy sicrhau ei fod yn ddihalog ac yn lân.  </w:t>
      </w:r>
    </w:p>
    <w:p w14:paraId="1A05D009" w14:textId="77777777" w:rsidR="00652920" w:rsidRPr="00652920" w:rsidRDefault="00652920" w:rsidP="00652920">
      <w:pPr>
        <w:pStyle w:val="ListParagraph"/>
        <w:rPr>
          <w:rFonts w:ascii="Arial" w:hAnsi="Arial" w:cs="Arial"/>
          <w:sz w:val="24"/>
          <w:szCs w:val="24"/>
        </w:rPr>
      </w:pPr>
    </w:p>
    <w:p w14:paraId="6C0AB971" w14:textId="77777777" w:rsidR="00652920" w:rsidRPr="00652920" w:rsidRDefault="00652920" w:rsidP="00652920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652920">
        <w:rPr>
          <w:rFonts w:ascii="Arial" w:hAnsi="Arial"/>
          <w:szCs w:val="24"/>
          <w:lang w:val="cy-GB"/>
        </w:rPr>
        <w:t xml:space="preserve">Cyfarwyddeb y Cyngor 91/271/EEC dyddiedig 21 Mai 1991 ynghylch trin dŵr gwastraff trefol, sy'n ymdrin â chasglu, trin a gollwng dŵr gwastraff trefol a thrin a gollwng dŵr gwastraff o sectorau diwydiannol penodol ac sydd â'r nod o ddiogelu'r amgylchedd rhag effeithiau niweidiol gollwng dŵr gwastraff o'r fath. </w:t>
      </w:r>
    </w:p>
    <w:p w14:paraId="72790B86" w14:textId="77777777" w:rsidR="00652920" w:rsidRPr="00652920" w:rsidRDefault="00652920" w:rsidP="00652920">
      <w:pPr>
        <w:pStyle w:val="EMLevel1Paragraph"/>
        <w:numPr>
          <w:ilvl w:val="0"/>
          <w:numId w:val="0"/>
        </w:numPr>
        <w:spacing w:before="0" w:after="0"/>
        <w:ind w:left="720"/>
        <w:rPr>
          <w:rFonts w:ascii="Arial" w:hAnsi="Arial"/>
          <w:szCs w:val="24"/>
        </w:rPr>
      </w:pPr>
    </w:p>
    <w:p w14:paraId="28BC0E0A" w14:textId="77777777" w:rsidR="00652920" w:rsidRPr="00652920" w:rsidRDefault="00652920" w:rsidP="00652920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652920">
        <w:rPr>
          <w:rFonts w:ascii="Arial" w:hAnsi="Arial"/>
          <w:szCs w:val="24"/>
          <w:lang w:val="cy-GB"/>
        </w:rPr>
        <w:t xml:space="preserve">Cyfarwyddeb y Cyngor 91/676/EEC dyddiedig 12 Rhagfyr 1991 ynghylch diogelu dyfroedd rhag llygredd a achosir gan nitradau o ffynonellau amaethyddol, sydd â'r amcan o leihau llygredd dŵr a achosir neu a ysgogir gan nitradau o  ffynonellau amaethyddol ac atal rhagor o lygredd o'r fath.  </w:t>
      </w:r>
      <w:r w:rsidRPr="00652920">
        <w:rPr>
          <w:rFonts w:ascii="Arial" w:hAnsi="Arial"/>
          <w:szCs w:val="24"/>
          <w:lang w:val="cy-GB"/>
        </w:rPr>
        <w:br/>
      </w:r>
    </w:p>
    <w:p w14:paraId="517360EF" w14:textId="77777777" w:rsidR="00652920" w:rsidRPr="00652920" w:rsidRDefault="00652920" w:rsidP="00652920">
      <w:pPr>
        <w:pStyle w:val="EMLevel1Paragraph"/>
        <w:numPr>
          <w:ilvl w:val="0"/>
          <w:numId w:val="13"/>
        </w:numPr>
        <w:spacing w:before="0" w:after="0"/>
        <w:rPr>
          <w:rFonts w:ascii="Arial" w:hAnsi="Arial"/>
          <w:szCs w:val="24"/>
        </w:rPr>
      </w:pPr>
      <w:r w:rsidRPr="00652920">
        <w:rPr>
          <w:rFonts w:ascii="Arial" w:hAnsi="Arial"/>
          <w:szCs w:val="24"/>
          <w:lang w:val="cy-GB"/>
        </w:rPr>
        <w:lastRenderedPageBreak/>
        <w:t xml:space="preserve">Cyfarwyddeb y Cyngor 86/278/EEC dyddiedig 12 Mehefin 1986 ar ddiogelu'r amgylchedd, ac yn benodol y pridd, pan ddefnyddir slwtsh </w:t>
      </w:r>
      <w:proofErr w:type="spellStart"/>
      <w:r w:rsidRPr="00652920">
        <w:rPr>
          <w:rFonts w:ascii="Arial" w:hAnsi="Arial"/>
          <w:szCs w:val="24"/>
          <w:lang w:val="cy-GB"/>
        </w:rPr>
        <w:t>carthion</w:t>
      </w:r>
      <w:proofErr w:type="spellEnd"/>
      <w:r w:rsidRPr="00652920">
        <w:rPr>
          <w:rFonts w:ascii="Arial" w:hAnsi="Arial"/>
          <w:szCs w:val="24"/>
          <w:lang w:val="cy-GB"/>
        </w:rPr>
        <w:t xml:space="preserve"> ym maes amaethyddiaeth.  </w:t>
      </w:r>
    </w:p>
    <w:p w14:paraId="525A9FB8" w14:textId="77777777" w:rsidR="00652920" w:rsidRPr="00652920" w:rsidRDefault="00652920" w:rsidP="00652920">
      <w:pPr>
        <w:pStyle w:val="EMLevel1Paragraph"/>
        <w:numPr>
          <w:ilvl w:val="0"/>
          <w:numId w:val="0"/>
        </w:numPr>
        <w:spacing w:before="0" w:after="0"/>
        <w:ind w:left="696" w:hanging="576"/>
        <w:rPr>
          <w:rFonts w:ascii="Arial" w:hAnsi="Arial"/>
          <w:b/>
          <w:szCs w:val="24"/>
        </w:rPr>
      </w:pPr>
    </w:p>
    <w:p w14:paraId="79AE2916" w14:textId="77777777" w:rsidR="00652920" w:rsidRPr="00652920" w:rsidRDefault="00652920" w:rsidP="00652920">
      <w:pPr>
        <w:rPr>
          <w:rFonts w:ascii="Arial" w:hAnsi="Arial" w:cs="Arial"/>
          <w:b/>
          <w:color w:val="000000"/>
          <w:sz w:val="24"/>
          <w:szCs w:val="24"/>
        </w:rPr>
      </w:pPr>
      <w:r w:rsidRPr="00652920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Diben y diwygiadau </w:t>
      </w:r>
    </w:p>
    <w:p w14:paraId="296B29A1" w14:textId="77777777" w:rsidR="00652920" w:rsidRPr="00652920" w:rsidRDefault="00652920" w:rsidP="00652920">
      <w:pPr>
        <w:rPr>
          <w:rFonts w:ascii="Arial" w:hAnsi="Arial" w:cs="Arial"/>
          <w:color w:val="000000"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Mae'r offeryn hwn yn trosglwyddo cyfres o swyddogaethau deddfwriaethol sy'n cael eu rhoi gan Gyfarwyddebau'r Undeb Ewropeaidd (“UE”) i'r Comisiwn Ewropeaidd (“y Comisiwn”), i awdurdodau cyhoeddus yn y Deyrnas Unedig (“DU”), fel y bo modd iddynt gael eu harfer ar lefel genedlaethol ar ôl i'r DU ymadael â'r UE.  </w:t>
      </w:r>
    </w:p>
    <w:p w14:paraId="0F28CA0D" w14:textId="77777777" w:rsidR="00652920" w:rsidRPr="00652920" w:rsidRDefault="00652920" w:rsidP="00652920">
      <w:pPr>
        <w:rPr>
          <w:rFonts w:ascii="Arial" w:hAnsi="Arial" w:cs="Arial"/>
          <w:sz w:val="24"/>
          <w:szCs w:val="24"/>
        </w:rPr>
      </w:pPr>
    </w:p>
    <w:p w14:paraId="2ADC0FEB" w14:textId="77777777" w:rsidR="00652920" w:rsidRDefault="00652920" w:rsidP="00652920">
      <w:pPr>
        <w:rPr>
          <w:rFonts w:ascii="Arial" w:hAnsi="Arial" w:cs="Arial"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Mae Rheoliadau 2019 a'r Memorandwm Esboniadol cysylltiedig, sy'n nodi effaith y diwygiadau, i'w gweld yma: </w:t>
      </w:r>
      <w:hyperlink r:id="rId8" w:history="1">
        <w:r w:rsidRPr="0008191A">
          <w:rPr>
            <w:rStyle w:val="Hyperlink"/>
            <w:rFonts w:ascii="Arial" w:hAnsi="Arial" w:cs="Arial"/>
            <w:sz w:val="24"/>
            <w:szCs w:val="24"/>
          </w:rPr>
          <w:t>https://beta.parliament.uk/work-packages/01V7gIYC</w:t>
        </w:r>
      </w:hyperlink>
    </w:p>
    <w:p w14:paraId="575B70E1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</w:rPr>
      </w:pPr>
    </w:p>
    <w:p w14:paraId="6A063EA7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</w:rPr>
      </w:pPr>
      <w:r w:rsidRPr="00652920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Cynulliad Cenedlaethol Cymru a/neu ar gymhwysedd gweithredol Gweinidogion Cymru</w:t>
      </w:r>
    </w:p>
    <w:p w14:paraId="0C9E817C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  <w:u w:val="single"/>
        </w:rPr>
      </w:pPr>
    </w:p>
    <w:p w14:paraId="37DA2C58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  <w:u w:val="single"/>
        </w:rPr>
      </w:pPr>
      <w:r w:rsidRPr="00652920">
        <w:rPr>
          <w:rFonts w:ascii="Arial" w:hAnsi="Arial" w:cs="Arial"/>
          <w:b/>
          <w:bCs/>
          <w:sz w:val="24"/>
          <w:szCs w:val="24"/>
          <w:u w:val="single"/>
          <w:lang w:val="cy-GB"/>
        </w:rPr>
        <w:t>Y Môr</w:t>
      </w:r>
    </w:p>
    <w:p w14:paraId="47E3EB95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  <w:u w:val="single"/>
        </w:rPr>
      </w:pPr>
    </w:p>
    <w:p w14:paraId="0DD19523" w14:textId="77777777" w:rsidR="00652920" w:rsidRPr="00652920" w:rsidRDefault="00652920" w:rsidP="00652920">
      <w:pPr>
        <w:rPr>
          <w:rFonts w:ascii="Arial" w:hAnsi="Arial" w:cs="Arial"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Mae gan Weinidogion Cymru rai swyddogaethau gweithredol sy'n ymwneud â'r môr ym Mharth Cymru, ac o'r herwydd, bydd gofyn cael eu cydsyniad hwy os bydd rheoliadau a wneir gan yr Ysgrifennydd Gwladol o dan Ran 6 o Reoliadau'r Strategaeth Forol 2010 yn effeithio ar y cymhwysedd gweithredol hwnnw, neu os bydd yn debygol o effeithio arno. </w:t>
      </w:r>
    </w:p>
    <w:p w14:paraId="3C5329AB" w14:textId="77777777" w:rsidR="00652920" w:rsidRPr="00652920" w:rsidRDefault="00652920" w:rsidP="00652920">
      <w:pPr>
        <w:rPr>
          <w:rFonts w:ascii="Arial" w:hAnsi="Arial" w:cs="Arial"/>
          <w:sz w:val="24"/>
          <w:szCs w:val="24"/>
        </w:rPr>
      </w:pPr>
    </w:p>
    <w:p w14:paraId="5D7269AC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Mae gan Gynulliad Cenedlaethol Cymru rywfaint o gymhwysedd deddfwriaethol yn yr ardal forol mewn perthynas â Chymru, ac eithrio materion fel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morgludiant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, olew a nwy, a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 yn ôl. O'r herwydd, cyn gwneud rheoliadau o dan Ran 6 Rheoliadau'r Strategaeth Forol 2010, rhaid i'r Ysgrifennydd Gwladol gael cydsyniad Gweinidogion Cymru pan fo'r rheoliadau'n gymwys o ran Cymru (fel y diffinnir hynny yn adran 158(1) o Ddeddf Llywodraeth Cymru 2006). Mae swyddogaethau a drosglwyddir i'r Ysgrifennydd Gwladol yn gyfystyr â swyddogaethau un o Weinidogion y Goron at ddibenion Atodlen 7B i Ddeddf Llywodraeth Cymru 2006. Pe bai'r Cynulliad yn cyflwyno Bil yn y dyfodol i geisio dileu neu addasu'r swyddogaethau hyn, gallai hynny olygu y bydd gofyn ymgynghori â Llywodraeth y DU.</w:t>
      </w:r>
    </w:p>
    <w:p w14:paraId="094CE28D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</w:rPr>
      </w:pPr>
    </w:p>
    <w:p w14:paraId="659BE063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  <w:u w:val="single"/>
        </w:rPr>
      </w:pPr>
      <w:r w:rsidRPr="00652920">
        <w:rPr>
          <w:rFonts w:ascii="Arial" w:hAnsi="Arial" w:cs="Arial"/>
          <w:b/>
          <w:bCs/>
          <w:sz w:val="24"/>
          <w:szCs w:val="24"/>
          <w:u w:val="single"/>
          <w:lang w:val="cy-GB"/>
        </w:rPr>
        <w:t>Ansawdd Aer, Dŵr a Sŵn Amgylcheddol</w:t>
      </w:r>
    </w:p>
    <w:p w14:paraId="27FC1367" w14:textId="77777777" w:rsidR="00652920" w:rsidRPr="00652920" w:rsidRDefault="00652920" w:rsidP="00652920">
      <w:pPr>
        <w:rPr>
          <w:rFonts w:ascii="Arial" w:hAnsi="Arial" w:cs="Arial"/>
          <w:sz w:val="24"/>
          <w:szCs w:val="24"/>
        </w:rPr>
      </w:pPr>
    </w:p>
    <w:p w14:paraId="0C811D4E" w14:textId="77777777" w:rsidR="00652920" w:rsidRPr="00652920" w:rsidRDefault="00652920" w:rsidP="00652920">
      <w:pPr>
        <w:rPr>
          <w:rFonts w:ascii="Arial" w:hAnsi="Arial" w:cs="Arial"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Mae darpariaeth yn yr OS hwn sy'n galluogi Gweinidogion Cymru i arfer swyddogaethau o ran Cymru yn ddilyffethair ac i Weinidogion Cymru roi cydsyniad i'r Ysgrifennydd Gwladol arfer swyddogaethau o ran Cymru. Mae swyddogaethau a drosglwyddir i'r Ysgrifennydd Gwladol i'w harfer ar yr un pryd, gyda chydsyniad Gweinidogion Cymru, yn gyfystyr â swyddogaethau un o Weinidogion y Goron sy'n ymwneud â swyddogaeth ddatganoledig amodol at ddibenion Atodlen 7B i Ddeddf Llywodraeth Cymru 2006. Mae'n bosibl, felly, y gallai hynny fod yn ystyriaeth berthnasol yng nghyd-destun cymhwysedd y Cynulliad i ddeddfu yn y meysydd hyn yn y dyfodol. </w:t>
      </w:r>
    </w:p>
    <w:p w14:paraId="504DE65E" w14:textId="77777777" w:rsidR="00652920" w:rsidRPr="00652920" w:rsidRDefault="00652920" w:rsidP="00652920">
      <w:pPr>
        <w:rPr>
          <w:rFonts w:ascii="Arial" w:hAnsi="Arial" w:cs="Arial"/>
          <w:sz w:val="24"/>
          <w:szCs w:val="24"/>
        </w:rPr>
      </w:pPr>
    </w:p>
    <w:p w14:paraId="578B845B" w14:textId="77777777" w:rsidR="00652920" w:rsidRPr="00652920" w:rsidRDefault="00652920" w:rsidP="00652920">
      <w:pPr>
        <w:rPr>
          <w:rFonts w:ascii="Arial" w:hAnsi="Arial" w:cs="Arial"/>
          <w:sz w:val="24"/>
          <w:szCs w:val="24"/>
        </w:rPr>
      </w:pPr>
      <w:r w:rsidRPr="00652920">
        <w:rPr>
          <w:rFonts w:ascii="Arial" w:hAnsi="Arial" w:cs="Arial"/>
          <w:sz w:val="24"/>
          <w:szCs w:val="24"/>
          <w:lang w:val="cy-GB"/>
        </w:rPr>
        <w:t xml:space="preserve">Mae swyddogaethau a drosglwyddir fel eu bod yn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arferadwy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 gan yr Ysgrifennydd Gwladol yn unig, neu a drosglwyddir i'r Ysgrifennydd Gwladol ond sy’n </w:t>
      </w:r>
      <w:proofErr w:type="spellStart"/>
      <w:r w:rsidRPr="00652920">
        <w:rPr>
          <w:rFonts w:ascii="Arial" w:hAnsi="Arial" w:cs="Arial"/>
          <w:sz w:val="24"/>
          <w:szCs w:val="24"/>
          <w:lang w:val="cy-GB"/>
        </w:rPr>
        <w:t>arferadwy</w:t>
      </w:r>
      <w:proofErr w:type="spellEnd"/>
      <w:r w:rsidRPr="00652920">
        <w:rPr>
          <w:rFonts w:ascii="Arial" w:hAnsi="Arial" w:cs="Arial"/>
          <w:sz w:val="24"/>
          <w:szCs w:val="24"/>
          <w:lang w:val="cy-GB"/>
        </w:rPr>
        <w:t xml:space="preserve"> gyda chydsyniad yr Awdurdodau Datganoledig yn unig mewn perthynas â thiriogaethau datganoledig, hefyd yn gyfystyr â swyddogaethau un o Weinidogion y Goron at ddibenion Atodlen 7B i Ddeddf Llywodraeth Cymru 2006. Pe bai'r Cynulliad yn cyflwyno Bil yn y dyfodol i geisio dileu neu addasu'r swyddogaethau hyn, gallai hynny olygu y bydd gofyn ymgynghori â Llywodraeth y DU.</w:t>
      </w:r>
    </w:p>
    <w:p w14:paraId="1E617997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</w:rPr>
      </w:pPr>
    </w:p>
    <w:p w14:paraId="1C826A3A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</w:rPr>
      </w:pPr>
      <w:r w:rsidRPr="00652920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5231FAC7" w14:textId="77777777" w:rsidR="00652920" w:rsidRPr="00652920" w:rsidRDefault="00652920" w:rsidP="00652920">
      <w:pPr>
        <w:rPr>
          <w:rFonts w:ascii="Arial" w:hAnsi="Arial" w:cs="Arial"/>
          <w:b/>
          <w:sz w:val="24"/>
          <w:szCs w:val="24"/>
        </w:rPr>
      </w:pPr>
    </w:p>
    <w:p w14:paraId="626E779D" w14:textId="77777777" w:rsidR="00652920" w:rsidRPr="00652920" w:rsidRDefault="00652920" w:rsidP="00652920">
      <w:pPr>
        <w:pStyle w:val="Default"/>
        <w:rPr>
          <w:rFonts w:ascii="Arial" w:hAnsi="Arial" w:cs="Arial"/>
        </w:rPr>
      </w:pPr>
      <w:r w:rsidRPr="00652920">
        <w:rPr>
          <w:rFonts w:ascii="Arial" w:hAnsi="Arial" w:cs="Arial"/>
          <w:lang w:val="cy-GB"/>
        </w:rPr>
        <w:lastRenderedPageBreak/>
        <w:t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</w:t>
      </w:r>
    </w:p>
    <w:p w14:paraId="42EF9B46" w14:textId="77777777" w:rsidR="00652920" w:rsidRDefault="00652920" w:rsidP="00652920">
      <w:pPr>
        <w:pStyle w:val="Default"/>
        <w:rPr>
          <w:rFonts w:ascii="Arial" w:hAnsi="Arial" w:cs="Arial"/>
          <w:b/>
        </w:rPr>
      </w:pPr>
    </w:p>
    <w:p w14:paraId="7D24B314" w14:textId="77777777" w:rsidR="00652920" w:rsidRDefault="00652920" w:rsidP="00652920">
      <w:pPr>
        <w:pStyle w:val="BodyText"/>
        <w:jc w:val="left"/>
      </w:pPr>
    </w:p>
    <w:sectPr w:rsidR="00652920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F26C9" w14:textId="77777777" w:rsidR="00C07044" w:rsidRDefault="00C07044">
      <w:r>
        <w:separator/>
      </w:r>
    </w:p>
  </w:endnote>
  <w:endnote w:type="continuationSeparator" w:id="0">
    <w:p w14:paraId="644FCD60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BE62" w14:textId="1ADF916A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27401B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C875ED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C8A50" w14:textId="77777777" w:rsidR="00C07044" w:rsidRDefault="00C07044">
      <w:r>
        <w:separator/>
      </w:r>
    </w:p>
  </w:footnote>
  <w:footnote w:type="continuationSeparator" w:id="0">
    <w:p w14:paraId="019F4D8B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BDEB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68EFD37" wp14:editId="0694E2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AA276" w14:textId="77777777" w:rsidR="00DD4B82" w:rsidRDefault="00DD4B82">
    <w:pPr>
      <w:pStyle w:val="Header"/>
    </w:pPr>
  </w:p>
  <w:p w14:paraId="3437444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A60"/>
    <w:multiLevelType w:val="hybridMultilevel"/>
    <w:tmpl w:val="F1168BC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7126B"/>
    <w:multiLevelType w:val="hybridMultilevel"/>
    <w:tmpl w:val="136A0E3E"/>
    <w:lvl w:ilvl="0" w:tplc="0E48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48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28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C0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4B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67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B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EA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CE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7401B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2920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B5B60A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6529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1">
    <w:name w:val="T1"/>
    <w:basedOn w:val="Normal"/>
    <w:rsid w:val="00652920"/>
    <w:pPr>
      <w:spacing w:before="1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01V7gIYC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64D110E-93BB-46DC-9CC8-CA0AAA6ADE24}"/>
</file>

<file path=customXml/itemProps3.xml><?xml version="1.0" encoding="utf-8"?>
<ds:datastoreItem xmlns:ds="http://schemas.openxmlformats.org/officeDocument/2006/customXml" ds:itemID="{E07D8219-0F1B-4621-B79B-4664EE3C2E2A}"/>
</file>

<file path=customXml/itemProps4.xml><?xml version="1.0" encoding="utf-8"?>
<ds:datastoreItem xmlns:ds="http://schemas.openxmlformats.org/officeDocument/2006/customXml" ds:itemID="{0A2AD908-8815-4CED-B5A0-92E41CA3B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7651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Rheoliadau’r Amgylchedd (Swyddogaethau Deddfwriaethol o Gyfarwyddebau)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2019-06-10T08:22:00Z</dcterms:created>
  <dcterms:modified xsi:type="dcterms:W3CDTF">2019-06-10T08:22:00Z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