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C9A24" w14:textId="4F69BA18" w:rsidR="00064FD1" w:rsidRPr="0040645B" w:rsidRDefault="00064FD1" w:rsidP="006811D8">
      <w:pPr>
        <w:jc w:val="both"/>
        <w:rPr>
          <w:b/>
          <w:sz w:val="24"/>
          <w:szCs w:val="24"/>
        </w:rPr>
      </w:pPr>
    </w:p>
    <w:p w14:paraId="0B6A7E21" w14:textId="539D605B" w:rsidR="006811D8" w:rsidRDefault="00114F06" w:rsidP="00114F06">
      <w:pPr>
        <w:shd w:val="clear" w:color="auto" w:fill="D0CECE" w:themeFill="background2" w:themeFillShade="E6"/>
        <w:jc w:val="center"/>
        <w:rPr>
          <w:b/>
          <w:sz w:val="24"/>
          <w:szCs w:val="24"/>
        </w:rPr>
      </w:pPr>
      <w:r>
        <w:rPr>
          <w:b/>
          <w:sz w:val="24"/>
          <w:szCs w:val="24"/>
        </w:rPr>
        <w:t>REPORT BY RHIANON PASSMORE AM</w:t>
      </w:r>
      <w:r>
        <w:rPr>
          <w:b/>
          <w:sz w:val="24"/>
          <w:szCs w:val="24"/>
        </w:rPr>
        <w:br/>
      </w:r>
      <w:r w:rsidR="00F96325" w:rsidRPr="0040645B">
        <w:rPr>
          <w:b/>
          <w:sz w:val="24"/>
          <w:szCs w:val="24"/>
        </w:rPr>
        <w:t>CPA Fundamentals Programme on Parliamentary Practice and Procedure</w:t>
      </w:r>
    </w:p>
    <w:p w14:paraId="5786631E" w14:textId="56AB0744" w:rsidR="00114F06" w:rsidRPr="0040645B" w:rsidRDefault="00114F06" w:rsidP="00114F06">
      <w:pPr>
        <w:shd w:val="clear" w:color="auto" w:fill="D0CECE" w:themeFill="background2" w:themeFillShade="E6"/>
        <w:jc w:val="center"/>
        <w:rPr>
          <w:b/>
          <w:sz w:val="24"/>
          <w:szCs w:val="24"/>
        </w:rPr>
      </w:pPr>
      <w:r>
        <w:rPr>
          <w:b/>
          <w:sz w:val="24"/>
          <w:szCs w:val="24"/>
        </w:rPr>
        <w:t>24-29 April 2017</w:t>
      </w:r>
      <w:bookmarkStart w:id="0" w:name="_GoBack"/>
      <w:bookmarkEnd w:id="0"/>
    </w:p>
    <w:p w14:paraId="6C8BCD72" w14:textId="77777777" w:rsidR="003861C7" w:rsidRDefault="003861C7" w:rsidP="006811D8">
      <w:pPr>
        <w:jc w:val="both"/>
        <w:rPr>
          <w:sz w:val="24"/>
          <w:szCs w:val="24"/>
        </w:rPr>
      </w:pPr>
    </w:p>
    <w:p w14:paraId="32DAFD52" w14:textId="5A581184" w:rsidR="00A67225" w:rsidRPr="006811D8" w:rsidRDefault="00086AAF" w:rsidP="006811D8">
      <w:pPr>
        <w:jc w:val="both"/>
        <w:rPr>
          <w:sz w:val="24"/>
          <w:szCs w:val="24"/>
        </w:rPr>
      </w:pPr>
      <w:r w:rsidRPr="006811D8">
        <w:rPr>
          <w:sz w:val="24"/>
          <w:szCs w:val="24"/>
        </w:rPr>
        <w:t xml:space="preserve">This was an inaugural training programme for parliamentarians elected within the last two years. </w:t>
      </w:r>
    </w:p>
    <w:p w14:paraId="544786B8" w14:textId="19DAD8A9" w:rsidR="00733156" w:rsidRPr="006811D8" w:rsidRDefault="00086AAF" w:rsidP="006811D8">
      <w:pPr>
        <w:jc w:val="both"/>
        <w:rPr>
          <w:sz w:val="24"/>
          <w:szCs w:val="24"/>
          <w:lang w:val="en-CA"/>
        </w:rPr>
      </w:pPr>
      <w:r w:rsidRPr="006811D8">
        <w:rPr>
          <w:sz w:val="24"/>
          <w:szCs w:val="24"/>
        </w:rPr>
        <w:t xml:space="preserve">The </w:t>
      </w:r>
      <w:r w:rsidR="00F76910" w:rsidRPr="006811D8">
        <w:rPr>
          <w:sz w:val="24"/>
          <w:szCs w:val="24"/>
        </w:rPr>
        <w:t>programme</w:t>
      </w:r>
      <w:r w:rsidRPr="006811D8">
        <w:rPr>
          <w:sz w:val="24"/>
          <w:szCs w:val="24"/>
        </w:rPr>
        <w:t xml:space="preserve"> was run by </w:t>
      </w:r>
      <w:r w:rsidR="00612C6A">
        <w:rPr>
          <w:sz w:val="24"/>
          <w:szCs w:val="24"/>
        </w:rPr>
        <w:t xml:space="preserve">the School of Continuing Studies at </w:t>
      </w:r>
      <w:r w:rsidRPr="006811D8">
        <w:rPr>
          <w:sz w:val="24"/>
          <w:szCs w:val="24"/>
        </w:rPr>
        <w:t xml:space="preserve">McGill University, Montreal, Canada. McGill </w:t>
      </w:r>
      <w:r w:rsidR="00F76910" w:rsidRPr="006811D8">
        <w:rPr>
          <w:sz w:val="24"/>
          <w:szCs w:val="24"/>
        </w:rPr>
        <w:t>refer</w:t>
      </w:r>
      <w:r w:rsidRPr="006811D8">
        <w:rPr>
          <w:sz w:val="24"/>
          <w:szCs w:val="24"/>
        </w:rPr>
        <w:t xml:space="preserve"> to the </w:t>
      </w:r>
      <w:r w:rsidR="00F76910" w:rsidRPr="006811D8">
        <w:rPr>
          <w:sz w:val="24"/>
          <w:szCs w:val="24"/>
        </w:rPr>
        <w:t>programme</w:t>
      </w:r>
      <w:r w:rsidRPr="006811D8">
        <w:rPr>
          <w:sz w:val="24"/>
          <w:szCs w:val="24"/>
        </w:rPr>
        <w:t xml:space="preserve"> as a </w:t>
      </w:r>
      <w:r w:rsidRPr="006811D8">
        <w:rPr>
          <w:sz w:val="24"/>
          <w:szCs w:val="24"/>
          <w:lang w:val="en-CA"/>
        </w:rPr>
        <w:t>Professional Development Certifica</w:t>
      </w:r>
      <w:r w:rsidR="00A67225" w:rsidRPr="006811D8">
        <w:rPr>
          <w:sz w:val="24"/>
          <w:szCs w:val="24"/>
          <w:lang w:val="en-CA"/>
        </w:rPr>
        <w:t>te in Parliamentary Governance</w:t>
      </w:r>
      <w:r w:rsidR="00F33C28" w:rsidRPr="006811D8">
        <w:rPr>
          <w:sz w:val="24"/>
          <w:szCs w:val="24"/>
          <w:lang w:val="en-CA"/>
        </w:rPr>
        <w:t xml:space="preserve"> for </w:t>
      </w:r>
      <w:r w:rsidRPr="006811D8">
        <w:rPr>
          <w:sz w:val="24"/>
          <w:szCs w:val="24"/>
          <w:lang w:val="en-CA"/>
        </w:rPr>
        <w:t>CPA Small B</w:t>
      </w:r>
      <w:r w:rsidR="00F33C28" w:rsidRPr="006811D8">
        <w:rPr>
          <w:sz w:val="24"/>
          <w:szCs w:val="24"/>
          <w:lang w:val="en-CA"/>
        </w:rPr>
        <w:t>ranches</w:t>
      </w:r>
      <w:r w:rsidRPr="006811D8">
        <w:rPr>
          <w:sz w:val="24"/>
          <w:szCs w:val="24"/>
          <w:lang w:val="en-CA"/>
        </w:rPr>
        <w:t>.</w:t>
      </w:r>
    </w:p>
    <w:p w14:paraId="5C24C62E" w14:textId="1DFDA759" w:rsidR="006811D8" w:rsidRDefault="00A67225" w:rsidP="006811D8">
      <w:pPr>
        <w:jc w:val="both"/>
        <w:rPr>
          <w:sz w:val="24"/>
          <w:szCs w:val="24"/>
          <w:lang w:val="en-CA"/>
        </w:rPr>
      </w:pPr>
      <w:r w:rsidRPr="006811D8">
        <w:rPr>
          <w:sz w:val="24"/>
          <w:szCs w:val="24"/>
        </w:rPr>
        <w:t>I would like to take this opportunity to thank the CPA, my hosts at McGill</w:t>
      </w:r>
      <w:r w:rsidR="00706B65" w:rsidRPr="006811D8">
        <w:rPr>
          <w:sz w:val="24"/>
          <w:szCs w:val="24"/>
        </w:rPr>
        <w:t xml:space="preserve"> (especially Phoebe </w:t>
      </w:r>
      <w:proofErr w:type="spellStart"/>
      <w:r w:rsidR="00706B65" w:rsidRPr="006811D8">
        <w:rPr>
          <w:sz w:val="24"/>
          <w:szCs w:val="24"/>
        </w:rPr>
        <w:t>Zamunel</w:t>
      </w:r>
      <w:proofErr w:type="spellEnd"/>
      <w:r w:rsidR="00706B65" w:rsidRPr="006811D8">
        <w:rPr>
          <w:sz w:val="24"/>
          <w:szCs w:val="24"/>
        </w:rPr>
        <w:t>)</w:t>
      </w:r>
      <w:r w:rsidRPr="006811D8">
        <w:rPr>
          <w:sz w:val="24"/>
          <w:szCs w:val="24"/>
        </w:rPr>
        <w:t xml:space="preserve"> and our Branch for sponsoring my participation in this programme</w:t>
      </w:r>
      <w:r w:rsidR="00F76910" w:rsidRPr="006811D8">
        <w:rPr>
          <w:sz w:val="24"/>
          <w:szCs w:val="24"/>
        </w:rPr>
        <w:t>.</w:t>
      </w:r>
    </w:p>
    <w:p w14:paraId="682EE5C6" w14:textId="77777777" w:rsidR="00612C6A" w:rsidRDefault="006811D8" w:rsidP="006811D8">
      <w:pPr>
        <w:jc w:val="both"/>
        <w:rPr>
          <w:sz w:val="24"/>
          <w:szCs w:val="24"/>
          <w:lang w:val="en-CA"/>
        </w:rPr>
      </w:pPr>
      <w:r>
        <w:rPr>
          <w:sz w:val="24"/>
          <w:szCs w:val="24"/>
          <w:lang w:val="en-CA"/>
        </w:rPr>
        <w:t>I must note here that th</w:t>
      </w:r>
      <w:r w:rsidR="00612C6A">
        <w:rPr>
          <w:sz w:val="24"/>
          <w:szCs w:val="24"/>
          <w:lang w:val="en-CA"/>
        </w:rPr>
        <w:t xml:space="preserve">is is a brief report as I only submitted my final written assignment to McGill on Monday! </w:t>
      </w:r>
    </w:p>
    <w:p w14:paraId="753FB919" w14:textId="77777777" w:rsidR="00612C6A" w:rsidRDefault="00612C6A" w:rsidP="006811D8">
      <w:pPr>
        <w:jc w:val="both"/>
        <w:rPr>
          <w:sz w:val="24"/>
          <w:szCs w:val="24"/>
          <w:lang w:val="en-CA"/>
        </w:rPr>
      </w:pPr>
    </w:p>
    <w:p w14:paraId="711209D6" w14:textId="3DC150AB" w:rsidR="00612C6A" w:rsidRPr="00612C6A" w:rsidRDefault="00612C6A" w:rsidP="00612C6A">
      <w:pPr>
        <w:shd w:val="clear" w:color="auto" w:fill="D0CECE" w:themeFill="background2" w:themeFillShade="E6"/>
        <w:jc w:val="both"/>
        <w:rPr>
          <w:b/>
          <w:sz w:val="24"/>
          <w:szCs w:val="24"/>
          <w:lang w:val="en-CA"/>
        </w:rPr>
      </w:pPr>
      <w:r>
        <w:rPr>
          <w:b/>
          <w:sz w:val="24"/>
          <w:szCs w:val="24"/>
          <w:lang w:val="en-CA"/>
        </w:rPr>
        <w:t>Programme</w:t>
      </w:r>
      <w:r w:rsidRPr="00612C6A">
        <w:rPr>
          <w:b/>
          <w:sz w:val="24"/>
          <w:szCs w:val="24"/>
          <w:lang w:val="en-CA"/>
        </w:rPr>
        <w:t xml:space="preserve"> Description</w:t>
      </w:r>
    </w:p>
    <w:p w14:paraId="04B170EC" w14:textId="06908ECC" w:rsidR="003861C7" w:rsidRPr="003861C7" w:rsidRDefault="003861C7" w:rsidP="003861C7">
      <w:pPr>
        <w:pStyle w:val="Default"/>
        <w:rPr>
          <w:rFonts w:asciiTheme="minorHAnsi" w:hAnsiTheme="minorHAnsi"/>
          <w:b/>
          <w:bCs/>
        </w:rPr>
      </w:pPr>
      <w:r w:rsidRPr="003861C7">
        <w:rPr>
          <w:rFonts w:asciiTheme="minorHAnsi" w:hAnsiTheme="minorHAnsi"/>
        </w:rPr>
        <w:t>Introduced as part of the CPA’s revised programme strategy. This pioneering programme was launched during the 62nd Commonwealth Parliamentary Conference.</w:t>
      </w:r>
    </w:p>
    <w:p w14:paraId="54FF3776" w14:textId="77777777" w:rsidR="003861C7" w:rsidRDefault="003861C7" w:rsidP="003861C7">
      <w:pPr>
        <w:pStyle w:val="Default"/>
        <w:rPr>
          <w:rFonts w:ascii="Lucida Sans" w:hAnsi="Lucida Sans"/>
          <w:b/>
          <w:bCs/>
        </w:rPr>
      </w:pPr>
    </w:p>
    <w:p w14:paraId="60A27F6C" w14:textId="77777777" w:rsidR="003861C7" w:rsidRPr="003861C7" w:rsidRDefault="003861C7" w:rsidP="003861C7">
      <w:pPr>
        <w:jc w:val="both"/>
        <w:rPr>
          <w:sz w:val="24"/>
          <w:szCs w:val="24"/>
          <w:lang w:val="en-CA"/>
        </w:rPr>
      </w:pPr>
      <w:r w:rsidRPr="006811D8">
        <w:rPr>
          <w:sz w:val="24"/>
          <w:szCs w:val="24"/>
          <w:lang w:val="en-CA"/>
        </w:rPr>
        <w:t>The aim and ambition</w:t>
      </w:r>
      <w:r>
        <w:rPr>
          <w:sz w:val="24"/>
          <w:szCs w:val="24"/>
          <w:lang w:val="en-CA"/>
        </w:rPr>
        <w:t xml:space="preserve"> of this accredited</w:t>
      </w:r>
      <w:r w:rsidRPr="006811D8">
        <w:rPr>
          <w:sz w:val="24"/>
          <w:szCs w:val="24"/>
          <w:lang w:val="en-CA"/>
        </w:rPr>
        <w:t xml:space="preserve"> programme was to </w:t>
      </w:r>
      <w:r>
        <w:rPr>
          <w:sz w:val="24"/>
          <w:szCs w:val="24"/>
          <w:lang w:val="en-CA"/>
        </w:rPr>
        <w:t xml:space="preserve">deepen participants’ </w:t>
      </w:r>
      <w:r w:rsidRPr="003861C7">
        <w:rPr>
          <w:sz w:val="24"/>
          <w:szCs w:val="24"/>
          <w:lang w:val="en-CA"/>
        </w:rPr>
        <w:t>understanding of democratic parliamentary governance.</w:t>
      </w:r>
    </w:p>
    <w:p w14:paraId="2645C7BB" w14:textId="77777777" w:rsidR="003861C7" w:rsidRPr="003861C7" w:rsidRDefault="003861C7" w:rsidP="003861C7">
      <w:pPr>
        <w:pStyle w:val="Default"/>
        <w:rPr>
          <w:rFonts w:asciiTheme="minorHAnsi" w:hAnsiTheme="minorHAnsi"/>
        </w:rPr>
      </w:pPr>
    </w:p>
    <w:p w14:paraId="5E0C1B09" w14:textId="7AC40AF4" w:rsidR="003861C7" w:rsidRDefault="003861C7" w:rsidP="003861C7">
      <w:pPr>
        <w:pStyle w:val="Default"/>
        <w:rPr>
          <w:rFonts w:asciiTheme="minorHAnsi" w:hAnsiTheme="minorHAnsi"/>
        </w:rPr>
      </w:pPr>
      <w:r w:rsidRPr="003861C7">
        <w:rPr>
          <w:rFonts w:asciiTheme="minorHAnsi" w:hAnsiTheme="minorHAnsi"/>
        </w:rPr>
        <w:t xml:space="preserve">The main </w:t>
      </w:r>
      <w:r w:rsidR="002767F2">
        <w:rPr>
          <w:rFonts w:asciiTheme="minorHAnsi" w:hAnsiTheme="minorHAnsi"/>
        </w:rPr>
        <w:t>objective of the programme was</w:t>
      </w:r>
      <w:r w:rsidRPr="003861C7">
        <w:rPr>
          <w:rFonts w:asciiTheme="minorHAnsi" w:hAnsiTheme="minorHAnsi"/>
        </w:rPr>
        <w:t xml:space="preserve"> to strengthen the capacity of Parliamentarians by equipping </w:t>
      </w:r>
      <w:r w:rsidR="00A144B0">
        <w:rPr>
          <w:rFonts w:asciiTheme="minorHAnsi" w:hAnsiTheme="minorHAnsi"/>
        </w:rPr>
        <w:t>us</w:t>
      </w:r>
      <w:r w:rsidRPr="003861C7">
        <w:rPr>
          <w:rFonts w:asciiTheme="minorHAnsi" w:hAnsiTheme="minorHAnsi"/>
        </w:rPr>
        <w:t xml:space="preserve"> with: </w:t>
      </w:r>
    </w:p>
    <w:p w14:paraId="1D2E8DAB" w14:textId="77777777" w:rsidR="003861C7" w:rsidRPr="003861C7" w:rsidRDefault="003861C7" w:rsidP="003861C7">
      <w:pPr>
        <w:pStyle w:val="Default"/>
        <w:rPr>
          <w:rFonts w:asciiTheme="minorHAnsi" w:hAnsiTheme="minorHAnsi"/>
        </w:rPr>
      </w:pPr>
    </w:p>
    <w:p w14:paraId="11761AC3" w14:textId="77777777" w:rsidR="003861C7" w:rsidRPr="003861C7" w:rsidRDefault="003861C7" w:rsidP="003861C7">
      <w:pPr>
        <w:pStyle w:val="Default"/>
        <w:numPr>
          <w:ilvl w:val="0"/>
          <w:numId w:val="1"/>
        </w:numPr>
        <w:spacing w:after="25"/>
        <w:rPr>
          <w:rFonts w:asciiTheme="minorHAnsi" w:hAnsiTheme="minorHAnsi"/>
        </w:rPr>
      </w:pPr>
      <w:r w:rsidRPr="003861C7">
        <w:rPr>
          <w:rFonts w:asciiTheme="minorHAnsi" w:hAnsiTheme="minorHAnsi"/>
        </w:rPr>
        <w:t xml:space="preserve">Greater depth of knowledge of parliamentary practice and procedure </w:t>
      </w:r>
    </w:p>
    <w:p w14:paraId="7AED734B" w14:textId="77777777" w:rsidR="003861C7" w:rsidRPr="003861C7" w:rsidRDefault="003861C7" w:rsidP="003861C7">
      <w:pPr>
        <w:pStyle w:val="Default"/>
        <w:numPr>
          <w:ilvl w:val="0"/>
          <w:numId w:val="1"/>
        </w:numPr>
        <w:spacing w:after="25"/>
        <w:rPr>
          <w:rFonts w:asciiTheme="minorHAnsi" w:hAnsiTheme="minorHAnsi"/>
        </w:rPr>
      </w:pPr>
      <w:r w:rsidRPr="003861C7">
        <w:rPr>
          <w:rFonts w:asciiTheme="minorHAnsi" w:hAnsiTheme="minorHAnsi"/>
        </w:rPr>
        <w:t xml:space="preserve">Increased in-depth and practical knowledge based on accepted theories and international good practices </w:t>
      </w:r>
    </w:p>
    <w:p w14:paraId="0CD4C8F6" w14:textId="3F4BBB92" w:rsidR="00A144B0" w:rsidRDefault="003861C7" w:rsidP="00A144B0">
      <w:pPr>
        <w:pStyle w:val="Default"/>
        <w:numPr>
          <w:ilvl w:val="0"/>
          <w:numId w:val="1"/>
        </w:numPr>
        <w:rPr>
          <w:rFonts w:asciiTheme="minorHAnsi" w:hAnsiTheme="minorHAnsi"/>
        </w:rPr>
      </w:pPr>
      <w:r w:rsidRPr="003861C7">
        <w:rPr>
          <w:rFonts w:asciiTheme="minorHAnsi" w:hAnsiTheme="minorHAnsi"/>
        </w:rPr>
        <w:t xml:space="preserve">An accredited qualification from an internationally recognised university that will benefit </w:t>
      </w:r>
      <w:r w:rsidR="00A144B0">
        <w:rPr>
          <w:rFonts w:asciiTheme="minorHAnsi" w:hAnsiTheme="minorHAnsi"/>
        </w:rPr>
        <w:t>us</w:t>
      </w:r>
      <w:r w:rsidRPr="003861C7">
        <w:rPr>
          <w:rFonts w:asciiTheme="minorHAnsi" w:hAnsiTheme="minorHAnsi"/>
        </w:rPr>
        <w:t xml:space="preserve"> for life during and after Parliament </w:t>
      </w:r>
    </w:p>
    <w:p w14:paraId="566F2AC2" w14:textId="0A42D7E7" w:rsidR="00A144B0" w:rsidRPr="00A144B0" w:rsidRDefault="00A144B0" w:rsidP="00A144B0">
      <w:pPr>
        <w:pStyle w:val="Default"/>
        <w:numPr>
          <w:ilvl w:val="0"/>
          <w:numId w:val="1"/>
        </w:numPr>
        <w:rPr>
          <w:rFonts w:asciiTheme="minorHAnsi" w:hAnsiTheme="minorHAnsi"/>
        </w:rPr>
      </w:pPr>
      <w:r>
        <w:rPr>
          <w:rFonts w:asciiTheme="minorHAnsi" w:hAnsiTheme="minorHAnsi"/>
          <w:color w:val="auto"/>
        </w:rPr>
        <w:t xml:space="preserve">Skills to meet our </w:t>
      </w:r>
      <w:r w:rsidRPr="00A144B0">
        <w:rPr>
          <w:rFonts w:asciiTheme="minorHAnsi" w:hAnsiTheme="minorHAnsi"/>
          <w:color w:val="auto"/>
        </w:rPr>
        <w:t xml:space="preserve">professional development needs </w:t>
      </w:r>
    </w:p>
    <w:p w14:paraId="61A1511B" w14:textId="77777777" w:rsidR="003861C7" w:rsidRPr="00A144B0" w:rsidRDefault="003861C7" w:rsidP="006811D8">
      <w:pPr>
        <w:jc w:val="both"/>
        <w:rPr>
          <w:sz w:val="24"/>
          <w:szCs w:val="24"/>
        </w:rPr>
      </w:pPr>
    </w:p>
    <w:p w14:paraId="187CE8CD" w14:textId="6E41D430" w:rsidR="00A67225" w:rsidRDefault="00086AAF" w:rsidP="006811D8">
      <w:pPr>
        <w:jc w:val="both"/>
        <w:rPr>
          <w:sz w:val="24"/>
          <w:szCs w:val="24"/>
        </w:rPr>
      </w:pPr>
      <w:r w:rsidRPr="006811D8">
        <w:rPr>
          <w:sz w:val="24"/>
          <w:szCs w:val="24"/>
        </w:rPr>
        <w:t xml:space="preserve">The course comprised of </w:t>
      </w:r>
      <w:r w:rsidR="00761351" w:rsidRPr="006811D8">
        <w:rPr>
          <w:sz w:val="24"/>
          <w:szCs w:val="24"/>
        </w:rPr>
        <w:t>online preparatory modu</w:t>
      </w:r>
      <w:r w:rsidR="006811D8">
        <w:rPr>
          <w:sz w:val="24"/>
          <w:szCs w:val="24"/>
        </w:rPr>
        <w:t>les, seminars during a five day</w:t>
      </w:r>
      <w:r w:rsidR="00761351" w:rsidRPr="006811D8">
        <w:rPr>
          <w:sz w:val="24"/>
          <w:szCs w:val="24"/>
        </w:rPr>
        <w:t xml:space="preserve"> course at McGill, and </w:t>
      </w:r>
      <w:r w:rsidR="00733156" w:rsidRPr="006811D8">
        <w:rPr>
          <w:sz w:val="24"/>
          <w:szCs w:val="24"/>
        </w:rPr>
        <w:t xml:space="preserve">subsequent </w:t>
      </w:r>
      <w:r w:rsidR="00761351" w:rsidRPr="006811D8">
        <w:rPr>
          <w:sz w:val="24"/>
          <w:szCs w:val="24"/>
        </w:rPr>
        <w:t xml:space="preserve">online modules </w:t>
      </w:r>
      <w:r w:rsidR="00733156" w:rsidRPr="006811D8">
        <w:rPr>
          <w:sz w:val="24"/>
          <w:szCs w:val="24"/>
        </w:rPr>
        <w:t xml:space="preserve">to be </w:t>
      </w:r>
      <w:r w:rsidR="00A67225" w:rsidRPr="006811D8">
        <w:rPr>
          <w:sz w:val="24"/>
          <w:szCs w:val="24"/>
        </w:rPr>
        <w:t>completed following the sessions in Montreal</w:t>
      </w:r>
      <w:r w:rsidR="00733156" w:rsidRPr="006811D8">
        <w:rPr>
          <w:sz w:val="24"/>
          <w:szCs w:val="24"/>
        </w:rPr>
        <w:t xml:space="preserve">. </w:t>
      </w:r>
    </w:p>
    <w:p w14:paraId="15D1FD58" w14:textId="77777777" w:rsidR="003861C7" w:rsidRDefault="003861C7" w:rsidP="006811D8">
      <w:pPr>
        <w:jc w:val="both"/>
        <w:rPr>
          <w:sz w:val="24"/>
          <w:szCs w:val="24"/>
        </w:rPr>
      </w:pPr>
    </w:p>
    <w:p w14:paraId="33F0C840" w14:textId="77777777" w:rsidR="003861C7" w:rsidRDefault="003861C7" w:rsidP="006811D8">
      <w:pPr>
        <w:jc w:val="both"/>
        <w:rPr>
          <w:sz w:val="24"/>
          <w:szCs w:val="24"/>
        </w:rPr>
      </w:pPr>
    </w:p>
    <w:p w14:paraId="373F0A54" w14:textId="77777777" w:rsidR="003861C7" w:rsidRDefault="003861C7" w:rsidP="006811D8">
      <w:pPr>
        <w:jc w:val="both"/>
        <w:rPr>
          <w:sz w:val="24"/>
          <w:szCs w:val="24"/>
        </w:rPr>
      </w:pPr>
    </w:p>
    <w:p w14:paraId="087C1282" w14:textId="77777777" w:rsidR="003861C7" w:rsidRPr="006811D8" w:rsidRDefault="003861C7" w:rsidP="006811D8">
      <w:pPr>
        <w:jc w:val="both"/>
        <w:rPr>
          <w:sz w:val="24"/>
          <w:szCs w:val="24"/>
        </w:rPr>
      </w:pPr>
    </w:p>
    <w:p w14:paraId="6E3DF91A" w14:textId="77777777" w:rsidR="003861C7" w:rsidRDefault="003861C7" w:rsidP="006811D8">
      <w:pPr>
        <w:jc w:val="both"/>
        <w:rPr>
          <w:sz w:val="24"/>
          <w:szCs w:val="24"/>
        </w:rPr>
      </w:pPr>
    </w:p>
    <w:p w14:paraId="297F5AFA" w14:textId="79EE3498" w:rsidR="003861C7" w:rsidRPr="006811D8" w:rsidRDefault="00A144B0" w:rsidP="006811D8">
      <w:pPr>
        <w:jc w:val="both"/>
        <w:rPr>
          <w:sz w:val="24"/>
          <w:szCs w:val="24"/>
        </w:rPr>
      </w:pPr>
      <w:r>
        <w:rPr>
          <w:sz w:val="24"/>
          <w:szCs w:val="24"/>
        </w:rPr>
        <w:t xml:space="preserve">The four core </w:t>
      </w:r>
      <w:r w:rsidR="00A67225" w:rsidRPr="006811D8">
        <w:rPr>
          <w:sz w:val="24"/>
          <w:szCs w:val="24"/>
        </w:rPr>
        <w:t xml:space="preserve">modules provide a useful overview of the subject matter and remit of the course. </w:t>
      </w:r>
      <w:r w:rsidR="006811D8">
        <w:rPr>
          <w:sz w:val="24"/>
          <w:szCs w:val="24"/>
        </w:rPr>
        <w:t>These were</w:t>
      </w:r>
      <w:r w:rsidR="00A67225" w:rsidRPr="006811D8">
        <w:rPr>
          <w:sz w:val="24"/>
          <w:szCs w:val="24"/>
        </w:rPr>
        <w:t>:</w:t>
      </w:r>
    </w:p>
    <w:p w14:paraId="5BEE4AC0" w14:textId="77777777" w:rsidR="00761351" w:rsidRPr="006811D8" w:rsidRDefault="00C958A2" w:rsidP="00612C6A">
      <w:pPr>
        <w:jc w:val="both"/>
        <w:rPr>
          <w:b/>
          <w:i/>
          <w:sz w:val="24"/>
          <w:szCs w:val="24"/>
        </w:rPr>
      </w:pPr>
      <w:r w:rsidRPr="006811D8">
        <w:rPr>
          <w:b/>
          <w:i/>
          <w:sz w:val="24"/>
          <w:szCs w:val="24"/>
        </w:rPr>
        <w:t xml:space="preserve">Introduction to </w:t>
      </w:r>
      <w:r w:rsidR="00F96325" w:rsidRPr="006811D8">
        <w:rPr>
          <w:b/>
          <w:i/>
          <w:sz w:val="24"/>
          <w:szCs w:val="24"/>
        </w:rPr>
        <w:t xml:space="preserve">Commonwealth </w:t>
      </w:r>
      <w:r w:rsidR="00761351" w:rsidRPr="006811D8">
        <w:rPr>
          <w:b/>
          <w:i/>
          <w:sz w:val="24"/>
          <w:szCs w:val="24"/>
        </w:rPr>
        <w:t>Parliamentary Governance</w:t>
      </w:r>
    </w:p>
    <w:p w14:paraId="76F96364" w14:textId="5A8A4FC8" w:rsidR="00761351" w:rsidRDefault="006811D8" w:rsidP="006811D8">
      <w:pPr>
        <w:jc w:val="both"/>
        <w:rPr>
          <w:sz w:val="24"/>
          <w:szCs w:val="24"/>
        </w:rPr>
      </w:pPr>
      <w:r>
        <w:rPr>
          <w:sz w:val="24"/>
          <w:szCs w:val="24"/>
        </w:rPr>
        <w:t xml:space="preserve"> This was a self-directed</w:t>
      </w:r>
      <w:r w:rsidR="00761351" w:rsidRPr="006811D8">
        <w:rPr>
          <w:sz w:val="24"/>
          <w:szCs w:val="24"/>
        </w:rPr>
        <w:t xml:space="preserve"> online </w:t>
      </w:r>
      <w:r w:rsidR="00F76910" w:rsidRPr="006811D8">
        <w:rPr>
          <w:sz w:val="24"/>
          <w:szCs w:val="24"/>
        </w:rPr>
        <w:t xml:space="preserve">introductory </w:t>
      </w:r>
      <w:r w:rsidR="00761351" w:rsidRPr="006811D8">
        <w:rPr>
          <w:sz w:val="24"/>
          <w:szCs w:val="24"/>
        </w:rPr>
        <w:t>module which ended in March.</w:t>
      </w:r>
    </w:p>
    <w:p w14:paraId="072396E2" w14:textId="77777777" w:rsidR="003861C7" w:rsidRPr="006811D8" w:rsidRDefault="003861C7" w:rsidP="006811D8">
      <w:pPr>
        <w:jc w:val="both"/>
        <w:rPr>
          <w:sz w:val="24"/>
          <w:szCs w:val="24"/>
        </w:rPr>
      </w:pPr>
    </w:p>
    <w:p w14:paraId="0EA46497" w14:textId="1BE2ED3B" w:rsidR="00F96325" w:rsidRPr="006811D8" w:rsidRDefault="00F96325" w:rsidP="006811D8">
      <w:pPr>
        <w:jc w:val="both"/>
        <w:rPr>
          <w:sz w:val="24"/>
          <w:szCs w:val="24"/>
        </w:rPr>
      </w:pPr>
      <w:r w:rsidRPr="006811D8">
        <w:rPr>
          <w:b/>
          <w:sz w:val="24"/>
          <w:szCs w:val="24"/>
        </w:rPr>
        <w:t>Contemporary Issues in Parliamentary Governance</w:t>
      </w:r>
      <w:r w:rsidR="006811D8">
        <w:rPr>
          <w:sz w:val="24"/>
          <w:szCs w:val="24"/>
        </w:rPr>
        <w:t xml:space="preserve">  </w:t>
      </w:r>
    </w:p>
    <w:p w14:paraId="1DB6A191" w14:textId="57F1A375" w:rsidR="00761351" w:rsidRPr="006811D8" w:rsidRDefault="006811D8" w:rsidP="006811D8">
      <w:pPr>
        <w:jc w:val="both"/>
        <w:rPr>
          <w:sz w:val="24"/>
          <w:szCs w:val="24"/>
        </w:rPr>
      </w:pPr>
      <w:r>
        <w:rPr>
          <w:sz w:val="24"/>
          <w:szCs w:val="24"/>
        </w:rPr>
        <w:t xml:space="preserve">This </w:t>
      </w:r>
      <w:r w:rsidR="00761351" w:rsidRPr="006811D8">
        <w:rPr>
          <w:sz w:val="24"/>
          <w:szCs w:val="24"/>
        </w:rPr>
        <w:t>module</w:t>
      </w:r>
      <w:r>
        <w:rPr>
          <w:sz w:val="24"/>
          <w:szCs w:val="24"/>
        </w:rPr>
        <w:t xml:space="preserve"> was partly completed online and</w:t>
      </w:r>
      <w:r w:rsidR="00761351" w:rsidRPr="006811D8">
        <w:rPr>
          <w:sz w:val="24"/>
          <w:szCs w:val="24"/>
        </w:rPr>
        <w:t xml:space="preserve"> culminated with a </w:t>
      </w:r>
      <w:r w:rsidR="00A67225" w:rsidRPr="006811D8">
        <w:rPr>
          <w:sz w:val="24"/>
          <w:szCs w:val="24"/>
        </w:rPr>
        <w:t xml:space="preserve">final written paper and corresponding </w:t>
      </w:r>
      <w:r w:rsidR="00761351" w:rsidRPr="006811D8">
        <w:rPr>
          <w:sz w:val="24"/>
          <w:szCs w:val="24"/>
        </w:rPr>
        <w:t xml:space="preserve">presentation </w:t>
      </w:r>
      <w:r w:rsidR="00A67225" w:rsidRPr="006811D8">
        <w:rPr>
          <w:sz w:val="24"/>
          <w:szCs w:val="24"/>
        </w:rPr>
        <w:t>during</w:t>
      </w:r>
      <w:r w:rsidR="00761351" w:rsidRPr="006811D8">
        <w:rPr>
          <w:sz w:val="24"/>
          <w:szCs w:val="24"/>
        </w:rPr>
        <w:t xml:space="preserve"> the course at McGill</w:t>
      </w:r>
      <w:r>
        <w:rPr>
          <w:sz w:val="24"/>
          <w:szCs w:val="24"/>
        </w:rPr>
        <w:t xml:space="preserve"> in April</w:t>
      </w:r>
      <w:r w:rsidR="00761351" w:rsidRPr="006811D8">
        <w:rPr>
          <w:sz w:val="24"/>
          <w:szCs w:val="24"/>
        </w:rPr>
        <w:t xml:space="preserve">. </w:t>
      </w:r>
      <w:r w:rsidR="00612C6A">
        <w:rPr>
          <w:sz w:val="24"/>
          <w:szCs w:val="24"/>
        </w:rPr>
        <w:t xml:space="preserve">The final paper and corresponding presentation, entitled ‘Assessment of Operations of Your Legislature’ enabled me to not only further my own understanding of Assembly processes and procedure but also to fully reflect on the many merits of this institution. </w:t>
      </w:r>
    </w:p>
    <w:p w14:paraId="1C30B907" w14:textId="70E45716" w:rsidR="00761351" w:rsidRPr="006811D8" w:rsidRDefault="00612C6A" w:rsidP="006811D8">
      <w:pPr>
        <w:jc w:val="both"/>
        <w:rPr>
          <w:sz w:val="24"/>
          <w:szCs w:val="24"/>
        </w:rPr>
      </w:pPr>
      <w:r>
        <w:rPr>
          <w:sz w:val="24"/>
          <w:szCs w:val="24"/>
        </w:rPr>
        <w:t>The s</w:t>
      </w:r>
      <w:r w:rsidR="00086AAF" w:rsidRPr="006811D8">
        <w:rPr>
          <w:sz w:val="24"/>
          <w:szCs w:val="24"/>
        </w:rPr>
        <w:t>essions</w:t>
      </w:r>
      <w:r>
        <w:rPr>
          <w:sz w:val="24"/>
          <w:szCs w:val="24"/>
        </w:rPr>
        <w:t xml:space="preserve"> at McGill included lectures on legislative process from leading academics, roundtable discussions and seminars with fellow Commonwealth Parliamentarians. </w:t>
      </w:r>
      <w:r>
        <w:rPr>
          <w:sz w:val="24"/>
          <w:szCs w:val="24"/>
        </w:rPr>
        <w:tab/>
      </w:r>
    </w:p>
    <w:p w14:paraId="6E9E5DE1" w14:textId="77777777" w:rsidR="00733156" w:rsidRPr="006811D8" w:rsidRDefault="00733156" w:rsidP="006811D8">
      <w:pPr>
        <w:jc w:val="both"/>
        <w:rPr>
          <w:sz w:val="24"/>
          <w:szCs w:val="24"/>
        </w:rPr>
      </w:pPr>
    </w:p>
    <w:p w14:paraId="025ED0C6" w14:textId="21C8F64D" w:rsidR="00612C6A" w:rsidRPr="00612C6A" w:rsidRDefault="00F96325" w:rsidP="006811D8">
      <w:pPr>
        <w:jc w:val="both"/>
        <w:rPr>
          <w:b/>
          <w:sz w:val="24"/>
          <w:szCs w:val="24"/>
        </w:rPr>
      </w:pPr>
      <w:r w:rsidRPr="00612C6A">
        <w:rPr>
          <w:b/>
          <w:sz w:val="24"/>
          <w:szCs w:val="24"/>
        </w:rPr>
        <w:t>Advanced Parliamentary Governance</w:t>
      </w:r>
      <w:r w:rsidR="00F76910" w:rsidRPr="00612C6A">
        <w:rPr>
          <w:b/>
          <w:sz w:val="24"/>
          <w:szCs w:val="24"/>
        </w:rPr>
        <w:t xml:space="preserve"> </w:t>
      </w:r>
    </w:p>
    <w:p w14:paraId="4F5A5E5F" w14:textId="533296EB" w:rsidR="00A144B0" w:rsidRPr="00A144B0" w:rsidRDefault="00F76910" w:rsidP="00A144B0">
      <w:pPr>
        <w:pStyle w:val="Body"/>
        <w:rPr>
          <w:rFonts w:asciiTheme="minorHAnsi" w:hAnsiTheme="minorHAnsi"/>
          <w:b/>
          <w:bCs/>
        </w:rPr>
      </w:pPr>
      <w:r w:rsidRPr="00A144B0">
        <w:rPr>
          <w:rFonts w:asciiTheme="minorHAnsi" w:hAnsiTheme="minorHAnsi"/>
          <w:sz w:val="24"/>
          <w:szCs w:val="24"/>
        </w:rPr>
        <w:t xml:space="preserve">This online module concluded last week and included an online tutor monitored discussion forum and a final </w:t>
      </w:r>
      <w:r w:rsidR="00A144B0">
        <w:rPr>
          <w:rFonts w:asciiTheme="minorHAnsi" w:hAnsiTheme="minorHAnsi"/>
          <w:sz w:val="24"/>
          <w:szCs w:val="24"/>
        </w:rPr>
        <w:t xml:space="preserve">paper based on Greg Power’s study, ‘The Politics of Parliamentary Strengthening’. </w:t>
      </w:r>
    </w:p>
    <w:p w14:paraId="7B600CCD" w14:textId="77777777" w:rsidR="003861C7" w:rsidRPr="006811D8" w:rsidRDefault="003861C7" w:rsidP="006811D8">
      <w:pPr>
        <w:jc w:val="both"/>
        <w:rPr>
          <w:sz w:val="24"/>
          <w:szCs w:val="24"/>
        </w:rPr>
      </w:pPr>
    </w:p>
    <w:p w14:paraId="5BB4E789" w14:textId="77777777" w:rsidR="00612C6A" w:rsidRDefault="00612C6A" w:rsidP="006811D8">
      <w:pPr>
        <w:jc w:val="both"/>
        <w:rPr>
          <w:sz w:val="24"/>
          <w:szCs w:val="24"/>
        </w:rPr>
      </w:pPr>
      <w:r w:rsidRPr="00612C6A">
        <w:rPr>
          <w:b/>
          <w:sz w:val="24"/>
          <w:szCs w:val="24"/>
        </w:rPr>
        <w:t>Parliamentary Communications</w:t>
      </w:r>
      <w:r w:rsidR="00F76910" w:rsidRPr="006811D8">
        <w:rPr>
          <w:sz w:val="24"/>
          <w:szCs w:val="24"/>
        </w:rPr>
        <w:t xml:space="preserve"> </w:t>
      </w:r>
    </w:p>
    <w:p w14:paraId="0336D6A8" w14:textId="408023F1" w:rsidR="004033B9" w:rsidRDefault="00F76910" w:rsidP="006811D8">
      <w:pPr>
        <w:jc w:val="both"/>
        <w:rPr>
          <w:sz w:val="24"/>
          <w:szCs w:val="24"/>
        </w:rPr>
      </w:pPr>
      <w:r w:rsidRPr="006811D8">
        <w:rPr>
          <w:sz w:val="24"/>
          <w:szCs w:val="24"/>
        </w:rPr>
        <w:t xml:space="preserve">This online module </w:t>
      </w:r>
      <w:r w:rsidR="00612C6A">
        <w:rPr>
          <w:sz w:val="24"/>
          <w:szCs w:val="24"/>
        </w:rPr>
        <w:t>is still live but, as previously stated, I submitted my final assignment on Monday.</w:t>
      </w:r>
      <w:r w:rsidR="00602E60">
        <w:rPr>
          <w:sz w:val="24"/>
          <w:szCs w:val="24"/>
        </w:rPr>
        <w:t xml:space="preserve"> In this final paper, an evaluation of the Assembly’s Communications Strategy, I examined the Assembly Commission’s Strategy and most recent Key Performance Indicators.</w:t>
      </w:r>
    </w:p>
    <w:p w14:paraId="56D4A517" w14:textId="77777777" w:rsidR="00A144B0" w:rsidRDefault="00A144B0" w:rsidP="006811D8">
      <w:pPr>
        <w:jc w:val="both"/>
        <w:rPr>
          <w:sz w:val="24"/>
          <w:szCs w:val="24"/>
        </w:rPr>
      </w:pPr>
    </w:p>
    <w:p w14:paraId="327DB246" w14:textId="69D5A818" w:rsidR="004033B9" w:rsidRPr="006811D8" w:rsidRDefault="004033B9" w:rsidP="004033B9">
      <w:pPr>
        <w:jc w:val="both"/>
        <w:rPr>
          <w:sz w:val="24"/>
          <w:szCs w:val="24"/>
          <w:lang w:val="en-CA"/>
        </w:rPr>
      </w:pPr>
      <w:r>
        <w:rPr>
          <w:sz w:val="24"/>
          <w:szCs w:val="24"/>
          <w:lang w:val="en-CA"/>
        </w:rPr>
        <w:t xml:space="preserve">I </w:t>
      </w:r>
      <w:r w:rsidRPr="006811D8">
        <w:rPr>
          <w:sz w:val="24"/>
          <w:szCs w:val="24"/>
          <w:lang w:val="en-CA"/>
        </w:rPr>
        <w:t xml:space="preserve">had extensive opportunity </w:t>
      </w:r>
      <w:r>
        <w:rPr>
          <w:sz w:val="24"/>
          <w:szCs w:val="24"/>
          <w:lang w:val="en-CA"/>
        </w:rPr>
        <w:t xml:space="preserve">throughout the programme </w:t>
      </w:r>
      <w:r w:rsidRPr="006811D8">
        <w:rPr>
          <w:sz w:val="24"/>
          <w:szCs w:val="24"/>
          <w:lang w:val="en-CA"/>
        </w:rPr>
        <w:t xml:space="preserve">to discuss </w:t>
      </w:r>
      <w:r>
        <w:rPr>
          <w:sz w:val="24"/>
          <w:szCs w:val="24"/>
          <w:lang w:val="en-CA"/>
        </w:rPr>
        <w:t>the work of the National Assembly for Wales whilst engaging with fellow course participants and academic facilitators. The course has enabled me to conclude that we’re right to</w:t>
      </w:r>
      <w:r w:rsidRPr="006811D8">
        <w:rPr>
          <w:sz w:val="24"/>
          <w:szCs w:val="24"/>
          <w:lang w:val="en-CA"/>
        </w:rPr>
        <w:t xml:space="preserve"> showcase </w:t>
      </w:r>
      <w:r>
        <w:rPr>
          <w:sz w:val="24"/>
          <w:szCs w:val="24"/>
          <w:lang w:val="en-CA"/>
        </w:rPr>
        <w:t xml:space="preserve">the Assembly as a leading example of parliamentary and legislative best practice. </w:t>
      </w:r>
    </w:p>
    <w:p w14:paraId="1B2CF92E" w14:textId="5A6CCF01" w:rsidR="004033B9" w:rsidRPr="006811D8" w:rsidRDefault="004033B9" w:rsidP="004033B9">
      <w:pPr>
        <w:pStyle w:val="PlainText"/>
        <w:jc w:val="both"/>
        <w:rPr>
          <w:sz w:val="24"/>
          <w:szCs w:val="24"/>
        </w:rPr>
      </w:pPr>
      <w:r w:rsidRPr="006811D8">
        <w:rPr>
          <w:sz w:val="24"/>
          <w:szCs w:val="24"/>
        </w:rPr>
        <w:t xml:space="preserve">I found this to be a very interesting and informative programme. As much of the course material was aimed at legislatures far less develop than the Assembly, I often found that I could hail the Assembly as a model of international good governance best practice. </w:t>
      </w:r>
      <w:r>
        <w:rPr>
          <w:sz w:val="24"/>
          <w:szCs w:val="24"/>
        </w:rPr>
        <w:t xml:space="preserve">Indeed, </w:t>
      </w:r>
      <w:r w:rsidR="00602E60">
        <w:rPr>
          <w:sz w:val="24"/>
          <w:szCs w:val="24"/>
        </w:rPr>
        <w:t xml:space="preserve">one of the academics </w:t>
      </w:r>
      <w:r>
        <w:rPr>
          <w:sz w:val="24"/>
          <w:szCs w:val="24"/>
        </w:rPr>
        <w:t xml:space="preserve">observed that “the Welsh </w:t>
      </w:r>
      <w:r w:rsidR="00602E60">
        <w:rPr>
          <w:sz w:val="24"/>
          <w:szCs w:val="24"/>
        </w:rPr>
        <w:t>Assembly sounds like an exemplary legislature!</w:t>
      </w:r>
      <w:r>
        <w:rPr>
          <w:sz w:val="24"/>
          <w:szCs w:val="24"/>
        </w:rPr>
        <w:t>”</w:t>
      </w:r>
    </w:p>
    <w:p w14:paraId="385CE3F9" w14:textId="77777777" w:rsidR="004033B9" w:rsidRPr="006811D8" w:rsidRDefault="004033B9" w:rsidP="006811D8">
      <w:pPr>
        <w:jc w:val="both"/>
        <w:rPr>
          <w:sz w:val="24"/>
          <w:szCs w:val="24"/>
        </w:rPr>
      </w:pPr>
    </w:p>
    <w:p w14:paraId="18CDB5AE" w14:textId="69B693FC" w:rsidR="00B11A84" w:rsidRPr="006811D8" w:rsidRDefault="004033B9" w:rsidP="004033B9">
      <w:pPr>
        <w:pStyle w:val="PlainText"/>
        <w:shd w:val="clear" w:color="auto" w:fill="D0CECE" w:themeFill="background2" w:themeFillShade="E6"/>
        <w:jc w:val="both"/>
        <w:rPr>
          <w:b/>
          <w:i/>
          <w:sz w:val="24"/>
          <w:szCs w:val="24"/>
        </w:rPr>
      </w:pPr>
      <w:r>
        <w:rPr>
          <w:b/>
          <w:sz w:val="24"/>
          <w:szCs w:val="24"/>
        </w:rPr>
        <w:t>Programme Evaluation</w:t>
      </w:r>
    </w:p>
    <w:p w14:paraId="3E0D64EB" w14:textId="1AA713DF" w:rsidR="00A67225" w:rsidRDefault="00A67225" w:rsidP="00B11A84">
      <w:pPr>
        <w:pStyle w:val="PlainText"/>
        <w:rPr>
          <w:b/>
          <w:i/>
          <w:sz w:val="24"/>
          <w:szCs w:val="24"/>
        </w:rPr>
      </w:pPr>
    </w:p>
    <w:p w14:paraId="60BA5458" w14:textId="77777777" w:rsidR="0040645B" w:rsidRPr="006811D8" w:rsidRDefault="0040645B" w:rsidP="00B11A84">
      <w:pPr>
        <w:pStyle w:val="PlainText"/>
        <w:rPr>
          <w:b/>
          <w:i/>
          <w:sz w:val="24"/>
          <w:szCs w:val="24"/>
        </w:rPr>
      </w:pPr>
    </w:p>
    <w:p w14:paraId="44D44605" w14:textId="4DE52B59" w:rsidR="0040645B" w:rsidRDefault="00A67225" w:rsidP="00A144B0">
      <w:pPr>
        <w:pStyle w:val="PlainText"/>
        <w:jc w:val="both"/>
        <w:rPr>
          <w:sz w:val="24"/>
          <w:szCs w:val="24"/>
        </w:rPr>
      </w:pPr>
      <w:r w:rsidRPr="00A144B0">
        <w:rPr>
          <w:sz w:val="24"/>
          <w:szCs w:val="24"/>
        </w:rPr>
        <w:t xml:space="preserve">I would most definitely recommend </w:t>
      </w:r>
      <w:r w:rsidR="00A144B0">
        <w:rPr>
          <w:sz w:val="24"/>
          <w:szCs w:val="24"/>
        </w:rPr>
        <w:t>that other Assembly Members complete any future CPA Fundamentals programmes. However, I would warn any future participants about the volume of work involved!</w:t>
      </w:r>
      <w:r w:rsidR="0040645B">
        <w:rPr>
          <w:sz w:val="24"/>
          <w:szCs w:val="24"/>
        </w:rPr>
        <w:t xml:space="preserve"> I believe that my busy schedule, like that of all Assembly Members, meant that I not always had the opportunity to fully explore the online modules. There were many suggested readings that I simply have not had the opportunity to complete.</w:t>
      </w:r>
      <w:r w:rsidR="002767F2">
        <w:rPr>
          <w:sz w:val="24"/>
          <w:szCs w:val="24"/>
        </w:rPr>
        <w:t xml:space="preserve"> </w:t>
      </w:r>
    </w:p>
    <w:p w14:paraId="72D76AA9" w14:textId="77777777" w:rsidR="0040645B" w:rsidRDefault="0040645B" w:rsidP="00A144B0">
      <w:pPr>
        <w:pStyle w:val="PlainText"/>
        <w:jc w:val="both"/>
        <w:rPr>
          <w:sz w:val="24"/>
          <w:szCs w:val="24"/>
        </w:rPr>
      </w:pPr>
    </w:p>
    <w:p w14:paraId="57EF83FB" w14:textId="73F6D29E" w:rsidR="00A67225" w:rsidRDefault="0040645B" w:rsidP="00A144B0">
      <w:pPr>
        <w:pStyle w:val="PlainText"/>
        <w:jc w:val="both"/>
        <w:rPr>
          <w:sz w:val="24"/>
          <w:szCs w:val="24"/>
        </w:rPr>
      </w:pPr>
      <w:r>
        <w:rPr>
          <w:sz w:val="24"/>
          <w:szCs w:val="24"/>
        </w:rPr>
        <w:t>Yet t</w:t>
      </w:r>
      <w:r w:rsidR="00A144B0">
        <w:rPr>
          <w:sz w:val="24"/>
          <w:szCs w:val="24"/>
        </w:rPr>
        <w:t>his is not to detract from the invaluable experience I have had. I not only gained academic knowledge through study</w:t>
      </w:r>
      <w:r>
        <w:rPr>
          <w:sz w:val="24"/>
          <w:szCs w:val="24"/>
        </w:rPr>
        <w:t>ing at McGill but also learnt a</w:t>
      </w:r>
      <w:r w:rsidR="00A144B0">
        <w:rPr>
          <w:sz w:val="24"/>
          <w:szCs w:val="24"/>
        </w:rPr>
        <w:t xml:space="preserve"> significant amount during conversations with fellow parliamentarians from across the Commonwealth. My experiences on this programme will continue to guide me during my time here in the Assembly and beyond. </w:t>
      </w:r>
    </w:p>
    <w:p w14:paraId="558CBB43" w14:textId="77777777" w:rsidR="00A67225" w:rsidRDefault="00A67225" w:rsidP="00B11A84">
      <w:pPr>
        <w:pStyle w:val="PlainText"/>
        <w:rPr>
          <w:b/>
          <w:i/>
          <w:sz w:val="24"/>
          <w:szCs w:val="24"/>
        </w:rPr>
      </w:pPr>
    </w:p>
    <w:p w14:paraId="176DEE7F" w14:textId="77777777" w:rsidR="003861C7" w:rsidRDefault="003861C7" w:rsidP="003861C7">
      <w:pPr>
        <w:ind w:firstLine="720"/>
        <w:rPr>
          <w:sz w:val="32"/>
          <w:szCs w:val="32"/>
        </w:rPr>
      </w:pPr>
    </w:p>
    <w:p w14:paraId="6F63488A" w14:textId="77777777" w:rsidR="003861C7" w:rsidRDefault="003861C7" w:rsidP="003861C7">
      <w:pPr>
        <w:ind w:firstLine="720"/>
        <w:rPr>
          <w:sz w:val="32"/>
          <w:szCs w:val="32"/>
        </w:rPr>
      </w:pPr>
    </w:p>
    <w:p w14:paraId="4EE2BE22" w14:textId="77777777" w:rsidR="003861C7" w:rsidRDefault="003861C7" w:rsidP="003861C7">
      <w:pPr>
        <w:ind w:firstLine="720"/>
        <w:rPr>
          <w:sz w:val="32"/>
          <w:szCs w:val="32"/>
        </w:rPr>
      </w:pPr>
    </w:p>
    <w:p w14:paraId="1F4F3685" w14:textId="77777777" w:rsidR="003861C7" w:rsidRDefault="003861C7" w:rsidP="003861C7">
      <w:pPr>
        <w:ind w:firstLine="720"/>
        <w:rPr>
          <w:sz w:val="32"/>
          <w:szCs w:val="32"/>
        </w:rPr>
      </w:pPr>
    </w:p>
    <w:p w14:paraId="1CA8B30E" w14:textId="77777777" w:rsidR="003861C7" w:rsidRDefault="003861C7" w:rsidP="003861C7">
      <w:pPr>
        <w:ind w:firstLine="720"/>
        <w:rPr>
          <w:sz w:val="32"/>
          <w:szCs w:val="32"/>
        </w:rPr>
      </w:pPr>
    </w:p>
    <w:p w14:paraId="0EE9F3DC" w14:textId="77777777" w:rsidR="003861C7" w:rsidRDefault="003861C7" w:rsidP="003861C7">
      <w:pPr>
        <w:ind w:firstLine="720"/>
        <w:rPr>
          <w:sz w:val="32"/>
          <w:szCs w:val="32"/>
        </w:rPr>
      </w:pPr>
    </w:p>
    <w:p w14:paraId="403CF53F" w14:textId="77777777" w:rsidR="003861C7" w:rsidRDefault="003861C7" w:rsidP="003861C7">
      <w:pPr>
        <w:ind w:firstLine="720"/>
        <w:rPr>
          <w:sz w:val="32"/>
          <w:szCs w:val="32"/>
        </w:rPr>
      </w:pPr>
    </w:p>
    <w:p w14:paraId="7D993FCF" w14:textId="77777777" w:rsidR="003861C7" w:rsidRDefault="003861C7" w:rsidP="003861C7">
      <w:pPr>
        <w:ind w:firstLine="720"/>
        <w:rPr>
          <w:sz w:val="32"/>
          <w:szCs w:val="32"/>
        </w:rPr>
      </w:pPr>
    </w:p>
    <w:p w14:paraId="7B31E4CD" w14:textId="5EFAEF48" w:rsidR="0040645B" w:rsidRDefault="0040645B" w:rsidP="003861C7">
      <w:pPr>
        <w:ind w:firstLine="720"/>
        <w:rPr>
          <w:sz w:val="32"/>
          <w:szCs w:val="32"/>
        </w:rPr>
      </w:pPr>
    </w:p>
    <w:p w14:paraId="205B9B1A" w14:textId="77777777" w:rsidR="0040645B" w:rsidRPr="0040645B" w:rsidRDefault="0040645B" w:rsidP="0040645B">
      <w:pPr>
        <w:rPr>
          <w:sz w:val="32"/>
          <w:szCs w:val="32"/>
        </w:rPr>
      </w:pPr>
    </w:p>
    <w:p w14:paraId="19DD43F6" w14:textId="77777777" w:rsidR="0040645B" w:rsidRPr="0040645B" w:rsidRDefault="0040645B" w:rsidP="0040645B">
      <w:pPr>
        <w:rPr>
          <w:sz w:val="32"/>
          <w:szCs w:val="32"/>
        </w:rPr>
      </w:pPr>
    </w:p>
    <w:p w14:paraId="0225E873" w14:textId="77777777" w:rsidR="0040645B" w:rsidRPr="0040645B" w:rsidRDefault="0040645B" w:rsidP="0040645B">
      <w:pPr>
        <w:rPr>
          <w:sz w:val="32"/>
          <w:szCs w:val="32"/>
        </w:rPr>
      </w:pPr>
    </w:p>
    <w:p w14:paraId="29C9524F" w14:textId="77777777" w:rsidR="0040645B" w:rsidRPr="0040645B" w:rsidRDefault="0040645B" w:rsidP="0040645B">
      <w:pPr>
        <w:rPr>
          <w:sz w:val="32"/>
          <w:szCs w:val="32"/>
        </w:rPr>
      </w:pPr>
    </w:p>
    <w:p w14:paraId="5BBA8EF9" w14:textId="2B675DB0" w:rsidR="003861C7" w:rsidRDefault="0040645B" w:rsidP="0040645B">
      <w:pPr>
        <w:tabs>
          <w:tab w:val="left" w:pos="1170"/>
        </w:tabs>
        <w:rPr>
          <w:sz w:val="32"/>
          <w:szCs w:val="32"/>
        </w:rPr>
      </w:pPr>
      <w:r>
        <w:rPr>
          <w:sz w:val="32"/>
          <w:szCs w:val="32"/>
        </w:rPr>
        <w:tab/>
      </w:r>
    </w:p>
    <w:p w14:paraId="3781F597" w14:textId="77777777" w:rsidR="0040645B" w:rsidRDefault="0040645B" w:rsidP="0040645B">
      <w:pPr>
        <w:tabs>
          <w:tab w:val="left" w:pos="1170"/>
        </w:tabs>
        <w:rPr>
          <w:sz w:val="32"/>
          <w:szCs w:val="32"/>
        </w:rPr>
      </w:pPr>
    </w:p>
    <w:p w14:paraId="59776F28" w14:textId="77777777" w:rsidR="0040645B" w:rsidRDefault="0040645B" w:rsidP="0040645B">
      <w:pPr>
        <w:pStyle w:val="PlainText"/>
        <w:jc w:val="both"/>
        <w:rPr>
          <w:sz w:val="24"/>
          <w:szCs w:val="24"/>
        </w:rPr>
      </w:pPr>
    </w:p>
    <w:p w14:paraId="0C05D95E" w14:textId="7D742260" w:rsidR="0040645B" w:rsidRPr="0040645B" w:rsidRDefault="0040645B" w:rsidP="0040645B">
      <w:pPr>
        <w:pStyle w:val="PlainText"/>
        <w:jc w:val="both"/>
        <w:rPr>
          <w:b/>
          <w:sz w:val="24"/>
          <w:szCs w:val="24"/>
        </w:rPr>
      </w:pPr>
      <w:r w:rsidRPr="0040645B">
        <w:rPr>
          <w:b/>
          <w:sz w:val="24"/>
          <w:szCs w:val="24"/>
        </w:rPr>
        <w:t xml:space="preserve">Appendix: </w:t>
      </w:r>
    </w:p>
    <w:p w14:paraId="6B57A745" w14:textId="77777777" w:rsidR="0040645B" w:rsidRDefault="0040645B" w:rsidP="0040645B">
      <w:pPr>
        <w:pStyle w:val="PlainText"/>
        <w:jc w:val="both"/>
        <w:rPr>
          <w:sz w:val="24"/>
          <w:szCs w:val="24"/>
        </w:rPr>
      </w:pPr>
    </w:p>
    <w:p w14:paraId="1CB8FF93" w14:textId="025B41DC" w:rsidR="0040645B" w:rsidRDefault="0040645B" w:rsidP="0040645B">
      <w:pPr>
        <w:pStyle w:val="PlainText"/>
        <w:jc w:val="both"/>
        <w:rPr>
          <w:sz w:val="24"/>
          <w:szCs w:val="24"/>
        </w:rPr>
      </w:pPr>
      <w:r>
        <w:rPr>
          <w:sz w:val="24"/>
          <w:szCs w:val="24"/>
        </w:rPr>
        <w:t>Timetable of the course in Montreal</w:t>
      </w:r>
    </w:p>
    <w:p w14:paraId="00316779" w14:textId="77777777" w:rsidR="0040645B" w:rsidRPr="0040645B" w:rsidRDefault="0040645B" w:rsidP="0040645B">
      <w:pPr>
        <w:pStyle w:val="PlainText"/>
        <w:jc w:val="both"/>
        <w:rPr>
          <w:sz w:val="24"/>
          <w:szCs w:val="24"/>
        </w:rPr>
      </w:pPr>
    </w:p>
    <w:p w14:paraId="58627456" w14:textId="01FA518B" w:rsidR="00F96325" w:rsidRDefault="003861C7" w:rsidP="0040645B">
      <w:pPr>
        <w:ind w:firstLine="720"/>
        <w:rPr>
          <w:sz w:val="32"/>
          <w:szCs w:val="32"/>
        </w:rPr>
      </w:pPr>
      <w:r w:rsidRPr="003861C7">
        <w:rPr>
          <w:noProof/>
          <w:sz w:val="32"/>
          <w:szCs w:val="32"/>
          <w:lang w:eastAsia="en-GB"/>
        </w:rPr>
        <w:drawing>
          <wp:inline distT="0" distB="0" distL="0" distR="0" wp14:anchorId="79CC3F81" wp14:editId="2481823C">
            <wp:extent cx="6991916" cy="4768845"/>
            <wp:effectExtent l="6667" t="0" r="6668" b="666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7005060" cy="4777810"/>
                    </a:xfrm>
                    <a:prstGeom prst="rect">
                      <a:avLst/>
                    </a:prstGeom>
                    <a:noFill/>
                    <a:ln>
                      <a:noFill/>
                    </a:ln>
                  </pic:spPr>
                </pic:pic>
              </a:graphicData>
            </a:graphic>
          </wp:inline>
        </w:drawing>
      </w:r>
    </w:p>
    <w:p w14:paraId="1410C6B7" w14:textId="77777777" w:rsidR="00F96325" w:rsidRDefault="00F96325" w:rsidP="00064FD1">
      <w:pPr>
        <w:rPr>
          <w:b/>
          <w:i/>
          <w:sz w:val="32"/>
          <w:szCs w:val="32"/>
        </w:rPr>
      </w:pPr>
    </w:p>
    <w:p w14:paraId="61CD0F5E" w14:textId="77777777" w:rsidR="00064FD1" w:rsidRPr="00064FD1" w:rsidRDefault="00064FD1" w:rsidP="002F1559">
      <w:pPr>
        <w:rPr>
          <w:b/>
          <w:i/>
          <w:sz w:val="32"/>
          <w:szCs w:val="32"/>
        </w:rPr>
      </w:pPr>
    </w:p>
    <w:sectPr w:rsidR="00064FD1" w:rsidRPr="00064FD1" w:rsidSect="00A4615F">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C700C" w14:textId="77777777" w:rsidR="006811D8" w:rsidRDefault="006811D8" w:rsidP="006811D8">
      <w:pPr>
        <w:spacing w:after="0" w:line="240" w:lineRule="auto"/>
      </w:pPr>
      <w:r>
        <w:separator/>
      </w:r>
    </w:p>
  </w:endnote>
  <w:endnote w:type="continuationSeparator" w:id="0">
    <w:p w14:paraId="0A050AA8" w14:textId="77777777" w:rsidR="006811D8" w:rsidRDefault="006811D8" w:rsidP="0068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DC3F" w14:textId="77777777" w:rsidR="006811D8" w:rsidRDefault="006811D8" w:rsidP="006811D8">
      <w:pPr>
        <w:spacing w:after="0" w:line="240" w:lineRule="auto"/>
      </w:pPr>
      <w:r>
        <w:separator/>
      </w:r>
    </w:p>
  </w:footnote>
  <w:footnote w:type="continuationSeparator" w:id="0">
    <w:p w14:paraId="17007722" w14:textId="77777777" w:rsidR="006811D8" w:rsidRDefault="006811D8" w:rsidP="0068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CA9C" w14:textId="441930DE" w:rsidR="006811D8" w:rsidRDefault="003861C7" w:rsidP="003861C7">
    <w:pPr>
      <w:pStyle w:val="Header"/>
      <w:jc w:val="center"/>
    </w:pPr>
    <w:r>
      <w:rPr>
        <w:rFonts w:ascii="Times New Roman" w:hAnsi="Times New Roman"/>
        <w:noProof/>
        <w:lang w:eastAsia="en-GB"/>
      </w:rPr>
      <w:drawing>
        <wp:inline distT="0" distB="0" distL="0" distR="0" wp14:anchorId="06FB2A54" wp14:editId="46290BB7">
          <wp:extent cx="6267450" cy="527330"/>
          <wp:effectExtent l="0" t="0" r="0" b="6350"/>
          <wp:docPr id="2" name="Picture 2" descr="cid:image001.png@01D28E9E.ADCC7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8E9E.ADCC73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95430" cy="6895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D15FB"/>
    <w:multiLevelType w:val="hybridMultilevel"/>
    <w:tmpl w:val="2A788318"/>
    <w:lvl w:ilvl="0" w:tplc="76A2C9DA">
      <w:numFmt w:val="bullet"/>
      <w:lvlText w:val="-"/>
      <w:lvlJc w:val="left"/>
      <w:pPr>
        <w:ind w:left="435" w:hanging="360"/>
      </w:pPr>
      <w:rPr>
        <w:rFonts w:ascii="Lucida Sans" w:eastAsiaTheme="minorHAnsi" w:hAnsi="Lucida Sans" w:cs="Century Gothic"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D1"/>
    <w:rsid w:val="00064FD1"/>
    <w:rsid w:val="00086AAF"/>
    <w:rsid w:val="000B50A9"/>
    <w:rsid w:val="000C7312"/>
    <w:rsid w:val="00114F06"/>
    <w:rsid w:val="00121C04"/>
    <w:rsid w:val="00143F6C"/>
    <w:rsid w:val="0019176B"/>
    <w:rsid w:val="001E2CD3"/>
    <w:rsid w:val="001F7A88"/>
    <w:rsid w:val="0023144C"/>
    <w:rsid w:val="00243DBB"/>
    <w:rsid w:val="00244A29"/>
    <w:rsid w:val="002767F2"/>
    <w:rsid w:val="0028076C"/>
    <w:rsid w:val="002A610E"/>
    <w:rsid w:val="002E4FF2"/>
    <w:rsid w:val="002E66DB"/>
    <w:rsid w:val="002F1559"/>
    <w:rsid w:val="003231C4"/>
    <w:rsid w:val="0033616B"/>
    <w:rsid w:val="00357DAE"/>
    <w:rsid w:val="003861C7"/>
    <w:rsid w:val="00390DEA"/>
    <w:rsid w:val="00390EA8"/>
    <w:rsid w:val="003C6D3D"/>
    <w:rsid w:val="003F2ABA"/>
    <w:rsid w:val="004033B9"/>
    <w:rsid w:val="0040645B"/>
    <w:rsid w:val="004F3060"/>
    <w:rsid w:val="00552EA0"/>
    <w:rsid w:val="005775BB"/>
    <w:rsid w:val="005E4592"/>
    <w:rsid w:val="005F42E0"/>
    <w:rsid w:val="00602E60"/>
    <w:rsid w:val="00612C6A"/>
    <w:rsid w:val="0062348C"/>
    <w:rsid w:val="006363BB"/>
    <w:rsid w:val="00652B71"/>
    <w:rsid w:val="00673001"/>
    <w:rsid w:val="00680BD5"/>
    <w:rsid w:val="006811D8"/>
    <w:rsid w:val="006A74F9"/>
    <w:rsid w:val="006E425D"/>
    <w:rsid w:val="006F0ADC"/>
    <w:rsid w:val="00703BA5"/>
    <w:rsid w:val="00706B65"/>
    <w:rsid w:val="007223FA"/>
    <w:rsid w:val="00733156"/>
    <w:rsid w:val="00761351"/>
    <w:rsid w:val="00765122"/>
    <w:rsid w:val="00776EB9"/>
    <w:rsid w:val="007F328D"/>
    <w:rsid w:val="00842FFC"/>
    <w:rsid w:val="00845834"/>
    <w:rsid w:val="00846E59"/>
    <w:rsid w:val="00892B58"/>
    <w:rsid w:val="008A4165"/>
    <w:rsid w:val="008D1B06"/>
    <w:rsid w:val="008E1D2F"/>
    <w:rsid w:val="008E64CB"/>
    <w:rsid w:val="009676E4"/>
    <w:rsid w:val="009778FD"/>
    <w:rsid w:val="009D4F00"/>
    <w:rsid w:val="009F6C43"/>
    <w:rsid w:val="00A144B0"/>
    <w:rsid w:val="00A4615F"/>
    <w:rsid w:val="00A67225"/>
    <w:rsid w:val="00A73E99"/>
    <w:rsid w:val="00A912AB"/>
    <w:rsid w:val="00AA7041"/>
    <w:rsid w:val="00AA7DF3"/>
    <w:rsid w:val="00AC075D"/>
    <w:rsid w:val="00AF2B2E"/>
    <w:rsid w:val="00AF6A44"/>
    <w:rsid w:val="00B11A84"/>
    <w:rsid w:val="00B214D0"/>
    <w:rsid w:val="00BC6F93"/>
    <w:rsid w:val="00BD1C0A"/>
    <w:rsid w:val="00C05110"/>
    <w:rsid w:val="00C136F8"/>
    <w:rsid w:val="00C26E40"/>
    <w:rsid w:val="00C958A2"/>
    <w:rsid w:val="00CB245A"/>
    <w:rsid w:val="00CC3821"/>
    <w:rsid w:val="00CC5564"/>
    <w:rsid w:val="00D81AEA"/>
    <w:rsid w:val="00DA2405"/>
    <w:rsid w:val="00DC6ACD"/>
    <w:rsid w:val="00DD4162"/>
    <w:rsid w:val="00E023CA"/>
    <w:rsid w:val="00E17BCC"/>
    <w:rsid w:val="00E4316E"/>
    <w:rsid w:val="00E459DB"/>
    <w:rsid w:val="00E57291"/>
    <w:rsid w:val="00E92310"/>
    <w:rsid w:val="00E9679F"/>
    <w:rsid w:val="00EC2D6A"/>
    <w:rsid w:val="00ED3909"/>
    <w:rsid w:val="00EE44E0"/>
    <w:rsid w:val="00F266C0"/>
    <w:rsid w:val="00F33C28"/>
    <w:rsid w:val="00F439C4"/>
    <w:rsid w:val="00F55D37"/>
    <w:rsid w:val="00F76910"/>
    <w:rsid w:val="00F957D2"/>
    <w:rsid w:val="00F9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FF099"/>
  <w15:chartTrackingRefBased/>
  <w15:docId w15:val="{7EFF4DD2-EC16-4B93-814D-0031DA6B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A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11A84"/>
    <w:rPr>
      <w:rFonts w:ascii="Calibri" w:hAnsi="Calibri"/>
      <w:szCs w:val="21"/>
    </w:rPr>
  </w:style>
  <w:style w:type="paragraph" w:styleId="Header">
    <w:name w:val="header"/>
    <w:basedOn w:val="Normal"/>
    <w:link w:val="HeaderChar"/>
    <w:uiPriority w:val="99"/>
    <w:unhideWhenUsed/>
    <w:rsid w:val="00681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1D8"/>
  </w:style>
  <w:style w:type="paragraph" w:styleId="Footer">
    <w:name w:val="footer"/>
    <w:basedOn w:val="Normal"/>
    <w:link w:val="FooterChar"/>
    <w:uiPriority w:val="99"/>
    <w:unhideWhenUsed/>
    <w:rsid w:val="00681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1D8"/>
  </w:style>
  <w:style w:type="paragraph" w:styleId="BalloonText">
    <w:name w:val="Balloon Text"/>
    <w:basedOn w:val="Normal"/>
    <w:link w:val="BalloonTextChar"/>
    <w:uiPriority w:val="99"/>
    <w:semiHidden/>
    <w:unhideWhenUsed/>
    <w:rsid w:val="00386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1C7"/>
    <w:rPr>
      <w:rFonts w:ascii="Segoe UI" w:hAnsi="Segoe UI" w:cs="Segoe UI"/>
      <w:sz w:val="18"/>
      <w:szCs w:val="18"/>
    </w:rPr>
  </w:style>
  <w:style w:type="paragraph" w:customStyle="1" w:styleId="Default">
    <w:name w:val="Default"/>
    <w:rsid w:val="003861C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ody">
    <w:name w:val="Body"/>
    <w:rsid w:val="00A144B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14512">
      <w:bodyDiv w:val="1"/>
      <w:marLeft w:val="0"/>
      <w:marRight w:val="0"/>
      <w:marTop w:val="0"/>
      <w:marBottom w:val="0"/>
      <w:divBdr>
        <w:top w:val="none" w:sz="0" w:space="0" w:color="auto"/>
        <w:left w:val="none" w:sz="0" w:space="0" w:color="auto"/>
        <w:bottom w:val="none" w:sz="0" w:space="0" w:color="auto"/>
        <w:right w:val="none" w:sz="0" w:space="0" w:color="auto"/>
      </w:divBdr>
    </w:div>
    <w:div w:id="20985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B8FE.1CA561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5E800260-1A9A-40AF-9DC7-025EFEA582F3}"/>
</file>

<file path=customXml/itemProps2.xml><?xml version="1.0" encoding="utf-8"?>
<ds:datastoreItem xmlns:ds="http://schemas.openxmlformats.org/officeDocument/2006/customXml" ds:itemID="{D9BD7C25-7EC6-4C21-8529-2F29A2F960C1}"/>
</file>

<file path=customXml/itemProps3.xml><?xml version="1.0" encoding="utf-8"?>
<ds:datastoreItem xmlns:ds="http://schemas.openxmlformats.org/officeDocument/2006/customXml" ds:itemID="{B8B2B416-CC7B-49E8-AB2F-C5E3B6BD0286}"/>
</file>

<file path=docProps/app.xml><?xml version="1.0" encoding="utf-8"?>
<Properties xmlns="http://schemas.openxmlformats.org/officeDocument/2006/extended-properties" xmlns:vt="http://schemas.openxmlformats.org/officeDocument/2006/docPropsVTypes">
  <Template>Normal.dotm</Template>
  <TotalTime>2</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Julia</dc:creator>
  <cp:keywords/>
  <dc:description/>
  <cp:lastModifiedBy>Davies, Al (Assembly - CAMS)</cp:lastModifiedBy>
  <cp:revision>3</cp:revision>
  <cp:lastPrinted>2017-07-12T10:57:00Z</cp:lastPrinted>
  <dcterms:created xsi:type="dcterms:W3CDTF">2017-07-12T13:06:00Z</dcterms:created>
  <dcterms:modified xsi:type="dcterms:W3CDTF">2017-10-17T10:43:00Z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