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9EA08" w14:textId="77777777" w:rsidR="001A39E2" w:rsidRDefault="001A39E2" w:rsidP="001A39E2">
      <w:pPr>
        <w:jc w:val="right"/>
        <w:rPr>
          <w:b/>
        </w:rPr>
      </w:pPr>
    </w:p>
    <w:p w14:paraId="4D73E16A" w14:textId="6C71CAC0" w:rsidR="00A845A9" w:rsidRDefault="00FA6788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41A5706" wp14:editId="2851FD5E">
                <wp:simplePos x="0" y="0"/>
                <wp:positionH relativeFrom="column">
                  <wp:posOffset>1616075</wp:posOffset>
                </wp:positionH>
                <wp:positionV relativeFrom="paragraph">
                  <wp:posOffset>13335</wp:posOffset>
                </wp:positionV>
                <wp:extent cx="3225800" cy="0"/>
                <wp:effectExtent l="11430" t="9525" r="1079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348A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1.05pt" to="381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/jB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yWS2SEE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" o:allowincell="f" strokecolor="red" strokeweight="1.5pt"/>
            </w:pict>
          </mc:Fallback>
        </mc:AlternateContent>
      </w:r>
    </w:p>
    <w:p w14:paraId="719B754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73EFE3F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550A32A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03463778" w14:textId="6451016F" w:rsidR="00A845A9" w:rsidRPr="00CE48F3" w:rsidRDefault="00FA6788" w:rsidP="00A845A9">
      <w:pPr>
        <w:rPr>
          <w:b/>
          <w:color w:val="FF0000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1895BB1" wp14:editId="5FAF54B1">
                <wp:simplePos x="0" y="0"/>
                <wp:positionH relativeFrom="column">
                  <wp:posOffset>1490345</wp:posOffset>
                </wp:positionH>
                <wp:positionV relativeFrom="paragraph">
                  <wp:posOffset>128270</wp:posOffset>
                </wp:positionV>
                <wp:extent cx="3225800" cy="0"/>
                <wp:effectExtent l="9525" t="13970" r="12700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5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48FC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35pt,10.1pt" to="371.3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FD6F46" w14:paraId="6967D38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AA14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9AF55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310CE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8686E9A" w14:textId="77777777" w:rsidR="00EA5290" w:rsidRPr="00670227" w:rsidRDefault="00985AF6" w:rsidP="00985AF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Newidiadau Dros Dro i Gyfraddau a Throthwyon y Dreth Trafodiadau Tir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FD6F46" w14:paraId="6E24BA8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A3C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9086B" w14:textId="77777777" w:rsidR="00EA5290" w:rsidRPr="00670227" w:rsidRDefault="003E2F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 Gorffennaf 2020</w:t>
            </w:r>
          </w:p>
        </w:tc>
      </w:tr>
      <w:tr w:rsidR="00FD6F46" w14:paraId="0EE7751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495BA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0BB8A" w14:textId="77777777" w:rsidR="00EA5290" w:rsidRPr="00670227" w:rsidRDefault="003E2F8E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Rebecca Evans AS, y Gweinidog Cyllid a'r Trefnydd</w:t>
            </w:r>
          </w:p>
        </w:tc>
      </w:tr>
    </w:tbl>
    <w:p w14:paraId="6084235C" w14:textId="77777777" w:rsidR="00EA5290" w:rsidRPr="00A011A1" w:rsidRDefault="00EA5290" w:rsidP="00EA5290"/>
    <w:p w14:paraId="484D741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E6C4165" w14:textId="77777777" w:rsidR="00985AF6" w:rsidRPr="0054627D" w:rsidRDefault="00985AF6" w:rsidP="00985AF6">
      <w:pPr>
        <w:spacing w:after="300" w:line="389" w:lineRule="atLeast"/>
        <w:rPr>
          <w:rFonts w:ascii="Arial" w:hAnsi="Arial" w:cs="Arial"/>
          <w:color w:val="1F1F1F"/>
          <w:sz w:val="27"/>
          <w:szCs w:val="27"/>
          <w:lang w:eastAsia="en-GB"/>
        </w:rPr>
      </w:pPr>
      <w:r>
        <w:rPr>
          <w:rFonts w:ascii="Arial" w:hAnsi="Arial" w:cs="Arial"/>
          <w:color w:val="1F1F1F"/>
          <w:sz w:val="27"/>
          <w:szCs w:val="27"/>
          <w:lang w:val="cy-GB" w:eastAsia="en-GB"/>
        </w:rPr>
        <w:t>Mae'n bleser gennyf gyhoeddi heddiw newidiadau i gyfraddau a throthwyon y dreth trafodiadau tir a fydd yn gymwys i eiddo preswyl sy'n cael ei brynu rhwng 27 Gorff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ennaf 2020 ac 31 Mawrth 2021. 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O 1 Ebrill 2021 ymlaen, bydd cyfraddau a throthwyon y dreth trafodiadau tir ar gyfer eiddo preswyl yn 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>dychwelyd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at y rhai sy'n gymwys heddiw.   </w:t>
      </w:r>
    </w:p>
    <w:p w14:paraId="7A1596C1" w14:textId="77777777" w:rsidR="00985AF6" w:rsidRPr="0054627D" w:rsidRDefault="00985AF6" w:rsidP="00985AF6">
      <w:pPr>
        <w:spacing w:after="300" w:line="389" w:lineRule="atLeast"/>
        <w:rPr>
          <w:rFonts w:ascii="Arial" w:hAnsi="Arial" w:cs="Arial"/>
          <w:color w:val="1F1F1F"/>
          <w:sz w:val="27"/>
          <w:szCs w:val="27"/>
          <w:lang w:eastAsia="en-GB"/>
        </w:rPr>
      </w:pP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Daw'r newidiadau mewn ymateb i'r rhai a wnaed gan Lywodraeth y DU i gynyddu'r trothwy cychwynnol ar gyfer talu prif gyfraddau 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>t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>reth dir y dr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eth stamp (SDLT) i £500,000. </w:t>
      </w:r>
      <w:r w:rsidR="00A60EA8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Bydd 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newidiadau </w:t>
      </w:r>
      <w:r w:rsidR="00A60EA8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Llywodraeth y DU 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yn cael yr effaith fwyaf lle 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>ceir y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prisiau uchaf, neu lle mae'r mwyaf cyfoethog yn gallu fforddio prynu </w:t>
      </w:r>
      <w:r w:rsidR="00D146A3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peth 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o'r 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eiddo drutaf yn yr ardal leol. 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>Mae'r newidiadau a gyflwynwyd gan Lywodraeth y DU yn adlewyrchu natur y farchnad dai yn Lloegr</w:t>
      </w:r>
      <w:r w:rsidR="00D146A3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– ac, 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>yn benodol, yr heriau sy'n wynebu prynwyr yn Llundain a De-ddwyrain Lloegr lle mae prisiau tai gryn dipyn yn uwch nag yng Nghymru.</w:t>
      </w:r>
    </w:p>
    <w:p w14:paraId="29456CDD" w14:textId="77777777" w:rsidR="00985AF6" w:rsidRDefault="00985AF6" w:rsidP="00985AF6">
      <w:pPr>
        <w:spacing w:after="300" w:line="389" w:lineRule="atLeast"/>
        <w:rPr>
          <w:rFonts w:ascii="Arial" w:hAnsi="Arial" w:cs="Arial"/>
          <w:color w:val="1F1F1F"/>
          <w:sz w:val="27"/>
          <w:szCs w:val="27"/>
          <w:lang w:eastAsia="en-GB"/>
        </w:rPr>
      </w:pP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Roedd Llywodraeth Cymru eisoes wedi cymryd camau </w:t>
      </w:r>
      <w:r w:rsidR="003211C8">
        <w:rPr>
          <w:rFonts w:ascii="Arial" w:hAnsi="Arial" w:cs="Arial"/>
          <w:color w:val="1F1F1F"/>
          <w:sz w:val="27"/>
          <w:szCs w:val="27"/>
          <w:lang w:val="cy-GB" w:eastAsia="en-GB"/>
        </w:rPr>
        <w:t>sylweddol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drwy sicrhau nad oes treth ar y mwyafrif 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o drafodiadau wrth brynu cartref. 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>Mae ein trothwy presennol ar gyfer y dreth trafodiadau tir, sef £180,000, nid yn unig yn golygu mai ni yw'r un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>ig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wlad yn y DU sydd â throthwy cychwynnol sy'n uwch na phris cyfartalog cartref, ond mae</w:t>
      </w:r>
      <w:r w:rsidR="00CA4AB6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hefyd y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>n golygu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>nad yw tua 60% o bobl sy'n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prynu 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lastRenderedPageBreak/>
        <w:t>cartref yn talu treth.</w:t>
      </w:r>
    </w:p>
    <w:p w14:paraId="676E32C6" w14:textId="77777777" w:rsidR="00985AF6" w:rsidRDefault="00985AF6" w:rsidP="00985AF6">
      <w:pPr>
        <w:spacing w:after="300" w:line="389" w:lineRule="atLeast"/>
        <w:rPr>
          <w:rFonts w:ascii="Arial" w:hAnsi="Arial" w:cs="Arial"/>
          <w:color w:val="1F1F1F"/>
          <w:sz w:val="27"/>
          <w:szCs w:val="27"/>
          <w:lang w:eastAsia="en-GB"/>
        </w:rPr>
      </w:pPr>
      <w:r>
        <w:rPr>
          <w:rFonts w:ascii="Arial" w:hAnsi="Arial" w:cs="Arial"/>
          <w:color w:val="1F1F1F"/>
          <w:sz w:val="27"/>
          <w:szCs w:val="27"/>
          <w:lang w:val="cy-GB" w:eastAsia="en-GB"/>
        </w:rPr>
        <w:t>Serch hynny, er gwaethaf y trothwy treth cychwynnol mwyaf blaengar yn y DU, rwyf heddiw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>’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>n cyhoeddi newidiadau i gyfraddau a throt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hwyon y dreth trafodiadau tir. 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Mae'r cyfraddau a'r trothwyon hyn wedi'u gosod er mwyn adlewyrchu'r farchnad eiddo yng Nghymru gan sicrhau ein bod yn cynnal trefn flaengar sy'n disgwyl i'r mwyaf cefnog gyfrannu mwy mewn treth.  </w:t>
      </w:r>
    </w:p>
    <w:p w14:paraId="099EC3A1" w14:textId="77777777" w:rsidR="00985AF6" w:rsidRDefault="00985AF6" w:rsidP="00985AF6">
      <w:pPr>
        <w:spacing w:after="300" w:line="389" w:lineRule="atLeast"/>
        <w:rPr>
          <w:rFonts w:ascii="Arial" w:hAnsi="Arial" w:cs="Arial"/>
          <w:color w:val="1F1F1F"/>
          <w:sz w:val="27"/>
          <w:szCs w:val="27"/>
          <w:lang w:eastAsia="en-GB"/>
        </w:rPr>
      </w:pPr>
      <w:r w:rsidRPr="0054627D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Rwyf felly wedi penderfynu y bydd y trothwy cychwynnol ar gyfer prif gyfraddau preswyl y dreth trafodiadau tir yn cael ei osod ar £250,000 o 27 Gorffennaf ymlaen. Mae'r trothwy newydd hwn £70,000 yn uwch na'n trothwy cychwynnol presennol ar gyfer trafodiadau eiddo preswyl a bydd yn golygu mai dim ond tua 20% o'r rhai 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>sy’n agored i b</w:t>
      </w:r>
      <w:r w:rsidRPr="0054627D">
        <w:rPr>
          <w:rFonts w:ascii="Arial" w:hAnsi="Arial" w:cs="Arial"/>
          <w:color w:val="1F1F1F"/>
          <w:sz w:val="27"/>
          <w:szCs w:val="27"/>
          <w:lang w:val="cy-GB" w:eastAsia="en-GB"/>
        </w:rPr>
        <w:t>rif gyfraddau'r dreth trafodiadau tir fy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>dd yn talu unrhyw dreth o gwbl.</w:t>
      </w:r>
      <w:r w:rsidRPr="0054627D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Bydd y rhai sy'n prynu eiddo sy'n costio mwy na £250,000 yn arbed £2,450 o'i gymharu â'r hyn y byddent wedi'i dalu yn flaenorol.  </w:t>
      </w:r>
    </w:p>
    <w:p w14:paraId="2AC3A7F8" w14:textId="77777777" w:rsidR="00985AF6" w:rsidRDefault="00985AF6" w:rsidP="00985AF6">
      <w:pPr>
        <w:spacing w:after="300" w:line="389" w:lineRule="atLeast"/>
        <w:rPr>
          <w:rFonts w:ascii="Arial" w:hAnsi="Arial" w:cs="Arial"/>
          <w:color w:val="1F1F1F"/>
          <w:sz w:val="27"/>
          <w:szCs w:val="27"/>
          <w:lang w:eastAsia="en-GB"/>
        </w:rPr>
      </w:pP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Ni fydd y newidiadau hyn yn </w:t>
      </w:r>
      <w:r w:rsidR="00CA4AB6">
        <w:rPr>
          <w:rFonts w:ascii="Arial" w:hAnsi="Arial" w:cs="Arial"/>
          <w:color w:val="1F1F1F"/>
          <w:sz w:val="27"/>
          <w:szCs w:val="27"/>
          <w:lang w:val="cy-GB" w:eastAsia="en-GB"/>
        </w:rPr>
        <w:t>gymwys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i'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>r rhai sy'n prynu eiddo sy'n agored i'r cyfraddau uwch. B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ydd y cyfraddau a'r trothwyon ar gyfer 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>y rhai sy’n prynu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eiddo preswyl fel buddsoddiad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 neu fel ail gartref yn aros fel y maent. 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Mae'r gostyngiad hwn yn y dreth wedi'i dargedu er mwyn cefnogi trethdalwyr sy'n talu prif gyfraddau'r dreth trafodiadau tir (yn fras, y rhai sy'n prynu eu cartref) ac sydd efallai angen cymorth ychwanegol yn sgil y pandemig.  </w:t>
      </w:r>
    </w:p>
    <w:p w14:paraId="2F0F9C94" w14:textId="77777777" w:rsidR="00985AF6" w:rsidRPr="0054627D" w:rsidRDefault="00985AF6" w:rsidP="00985AF6">
      <w:pPr>
        <w:spacing w:after="300" w:line="389" w:lineRule="atLeast"/>
        <w:rPr>
          <w:rFonts w:ascii="Arial" w:hAnsi="Arial" w:cs="Arial"/>
          <w:color w:val="1F1F1F"/>
          <w:sz w:val="27"/>
          <w:szCs w:val="27"/>
          <w:lang w:eastAsia="en-GB"/>
        </w:rPr>
      </w:pPr>
      <w:r>
        <w:rPr>
          <w:rFonts w:ascii="Arial" w:hAnsi="Arial" w:cs="Arial"/>
          <w:color w:val="1F1F1F"/>
          <w:sz w:val="27"/>
          <w:szCs w:val="27"/>
          <w:lang w:val="cy-GB" w:eastAsia="en-GB"/>
        </w:rPr>
        <w:t>Serch hynny, er fy mod yn gallu darparu ar gyfer y gostyngiad hwn yn y dreth, yn unol ag egwyddorion y Llywodraeth Cymru hon, gallaf gadarnhau y byddwn yn mynd ati mewn ffordd wahanol i fynd i'r afael â phroblemau tai ehangach sy'n wyneb</w:t>
      </w:r>
      <w:r w:rsidR="001A72E8"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u'r rhai sydd â'r angen mwyaf. </w:t>
      </w:r>
      <w:r>
        <w:rPr>
          <w:rFonts w:ascii="Arial" w:hAnsi="Arial" w:cs="Arial"/>
          <w:color w:val="1F1F1F"/>
          <w:sz w:val="27"/>
          <w:szCs w:val="27"/>
          <w:lang w:val="cy-GB" w:eastAsia="en-GB"/>
        </w:rPr>
        <w:t>Heddiw, gallaf hefyd gyhoeddi</w:t>
      </w:r>
      <w:r w:rsidRPr="00F542F0">
        <w:rPr>
          <w:rFonts w:ascii="Arial" w:hAnsi="Arial" w:cs="Arial"/>
          <w:sz w:val="27"/>
          <w:szCs w:val="27"/>
          <w:lang w:val="cy-GB"/>
        </w:rPr>
        <w:t xml:space="preserve"> £30m ar gyfer y Rhaglen Tai Cymdeithasol a fydd yn rhoi cymorth ychwanegol i weithgareddau amrywiol </w:t>
      </w:r>
      <w:r w:rsidR="001A72E8">
        <w:rPr>
          <w:rFonts w:ascii="Arial" w:hAnsi="Arial" w:cs="Arial"/>
          <w:sz w:val="27"/>
          <w:szCs w:val="27"/>
          <w:lang w:val="cy-GB"/>
        </w:rPr>
        <w:t>i</w:t>
      </w:r>
      <w:r w:rsidRPr="00F542F0">
        <w:rPr>
          <w:rFonts w:ascii="Arial" w:hAnsi="Arial" w:cs="Arial"/>
          <w:sz w:val="27"/>
          <w:szCs w:val="27"/>
          <w:lang w:val="cy-GB"/>
        </w:rPr>
        <w:t xml:space="preserve"> hybu gwaith adeiladu yn y sector tai cymdeithasol. </w:t>
      </w:r>
    </w:p>
    <w:p w14:paraId="04F6982F" w14:textId="77777777" w:rsidR="00985AF6" w:rsidRDefault="00985AF6" w:rsidP="00985AF6">
      <w:pPr>
        <w:spacing w:after="300" w:line="389" w:lineRule="atLeast"/>
        <w:rPr>
          <w:rFonts w:ascii="Arial" w:hAnsi="Arial" w:cs="Arial"/>
          <w:color w:val="1F1F1F"/>
          <w:sz w:val="27"/>
          <w:szCs w:val="27"/>
          <w:lang w:eastAsia="en-GB"/>
        </w:rPr>
      </w:pPr>
      <w:r>
        <w:rPr>
          <w:rFonts w:ascii="Arial" w:hAnsi="Arial" w:cs="Arial"/>
          <w:color w:val="1F1F1F"/>
          <w:sz w:val="27"/>
          <w:szCs w:val="27"/>
          <w:lang w:val="cy-GB" w:eastAsia="en-GB"/>
        </w:rPr>
        <w:t>Gyda'i gilydd, mae'r newidiadau i'r dreth a'r ymrwymiad gwario yn sicrhau:</w:t>
      </w:r>
    </w:p>
    <w:p w14:paraId="03390251" w14:textId="77777777" w:rsidR="00985AF6" w:rsidRDefault="00985AF6" w:rsidP="00985AF6">
      <w:pPr>
        <w:pStyle w:val="ListParagraph"/>
        <w:numPr>
          <w:ilvl w:val="0"/>
          <w:numId w:val="2"/>
        </w:numPr>
        <w:spacing w:after="300" w:line="389" w:lineRule="atLeast"/>
        <w:contextualSpacing/>
        <w:rPr>
          <w:rFonts w:ascii="Arial" w:hAnsi="Arial" w:cs="Arial"/>
          <w:color w:val="1F1F1F"/>
          <w:sz w:val="27"/>
          <w:szCs w:val="27"/>
          <w:lang w:eastAsia="en-GB"/>
        </w:rPr>
      </w:pP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na fydd tua 80% o'r rhai sy'n prynu cartref yn talu treth wrth brynu eu cartref </w:t>
      </w:r>
    </w:p>
    <w:p w14:paraId="3D1A9C97" w14:textId="77777777" w:rsidR="00985AF6" w:rsidRPr="00201059" w:rsidRDefault="00985AF6" w:rsidP="00985AF6">
      <w:pPr>
        <w:pStyle w:val="ListParagraph"/>
        <w:numPr>
          <w:ilvl w:val="0"/>
          <w:numId w:val="2"/>
        </w:numPr>
        <w:spacing w:after="300" w:line="389" w:lineRule="atLeast"/>
        <w:contextualSpacing/>
        <w:rPr>
          <w:rFonts w:ascii="Arial" w:hAnsi="Arial" w:cs="Arial"/>
          <w:color w:val="1F1F1F"/>
          <w:sz w:val="27"/>
          <w:szCs w:val="27"/>
          <w:lang w:eastAsia="en-GB"/>
        </w:rPr>
      </w:pPr>
      <w:r>
        <w:rPr>
          <w:rFonts w:ascii="Arial" w:hAnsi="Arial" w:cs="Arial"/>
          <w:color w:val="1F1F1F"/>
          <w:sz w:val="27"/>
          <w:szCs w:val="27"/>
          <w:lang w:val="cy-GB" w:eastAsia="en-GB"/>
        </w:rPr>
        <w:t>y bydd pawb sy'n prynu eiddo preswyl a fyddai wedi talu prif gyfraddau'r dreth trafodiadau tir cyn 27 Gorffennaf yn arbed hyd at £2,450</w:t>
      </w:r>
    </w:p>
    <w:p w14:paraId="40F62B6B" w14:textId="77777777" w:rsidR="00985AF6" w:rsidRPr="00F542F0" w:rsidRDefault="00985AF6" w:rsidP="00985AF6">
      <w:pPr>
        <w:pStyle w:val="ListParagraph"/>
        <w:numPr>
          <w:ilvl w:val="0"/>
          <w:numId w:val="2"/>
        </w:numPr>
        <w:spacing w:after="300" w:line="389" w:lineRule="atLeast"/>
        <w:contextualSpacing/>
        <w:rPr>
          <w:rFonts w:ascii="Arial" w:hAnsi="Arial" w:cs="Arial"/>
          <w:color w:val="1F1F1F"/>
          <w:sz w:val="27"/>
          <w:szCs w:val="27"/>
          <w:lang w:eastAsia="en-GB"/>
        </w:rPr>
      </w:pPr>
      <w:r>
        <w:rPr>
          <w:rFonts w:ascii="Arial" w:hAnsi="Arial" w:cs="Arial"/>
          <w:color w:val="1F1F1F"/>
          <w:sz w:val="27"/>
          <w:szCs w:val="27"/>
          <w:lang w:val="cy-GB" w:eastAsia="en-GB"/>
        </w:rPr>
        <w:t xml:space="preserve">cyllid i hybu gwaith adeiladu yn y sector tai cymdeithasol, gan ddarparu mwy o dai yn y sector hwn a hwb economaidd i'r sector adeiladu pwysig ac i'r economi yn ehangach. </w:t>
      </w:r>
    </w:p>
    <w:p w14:paraId="3EEC7B31" w14:textId="77777777" w:rsidR="00985AF6" w:rsidRPr="0054627D" w:rsidRDefault="00985AF6" w:rsidP="00985AF6">
      <w:pPr>
        <w:spacing w:after="300" w:line="389" w:lineRule="atLeast"/>
        <w:rPr>
          <w:rFonts w:ascii="Arial" w:hAnsi="Arial" w:cs="Arial"/>
          <w:color w:val="1F1F1F"/>
          <w:sz w:val="27"/>
          <w:szCs w:val="27"/>
          <w:lang w:eastAsia="en-GB"/>
        </w:rPr>
      </w:pPr>
      <w:r w:rsidRPr="0054627D">
        <w:rPr>
          <w:rFonts w:ascii="Arial" w:hAnsi="Arial" w:cs="Arial"/>
          <w:color w:val="1F1F1F"/>
          <w:sz w:val="27"/>
          <w:szCs w:val="27"/>
          <w:lang w:val="cy-GB" w:eastAsia="en-GB"/>
        </w:rPr>
        <w:t>Mae tabl wedi'i atodi sy'n dangos y prif gyfraddau a bandiau treth, a'r rhai uwch, a fydd mewn grym rhwng 27 Gorffennaf ac 31 Mawrth 2021.</w:t>
      </w:r>
    </w:p>
    <w:p w14:paraId="113EE00B" w14:textId="77777777" w:rsidR="00985AF6" w:rsidRDefault="00985AF6" w:rsidP="00985AF6">
      <w:pPr>
        <w:spacing w:after="160" w:line="259" w:lineRule="auto"/>
        <w:rPr>
          <w:rFonts w:ascii="Arial" w:hAnsi="Arial" w:cs="Arial"/>
          <w:sz w:val="27"/>
          <w:szCs w:val="27"/>
        </w:rPr>
      </w:pPr>
    </w:p>
    <w:p w14:paraId="3425C649" w14:textId="77777777" w:rsidR="00291C5D" w:rsidRDefault="00291C5D">
      <w:pPr>
        <w:rPr>
          <w:rFonts w:ascii="Arial" w:eastAsia="Calibri" w:hAnsi="Arial" w:cs="Arial"/>
          <w:b/>
          <w:sz w:val="28"/>
          <w:szCs w:val="24"/>
        </w:rPr>
      </w:pPr>
      <w:r>
        <w:rPr>
          <w:rFonts w:ascii="Arial" w:eastAsia="Calibri" w:hAnsi="Arial" w:cs="Arial"/>
          <w:b/>
          <w:bCs/>
          <w:sz w:val="28"/>
          <w:szCs w:val="24"/>
          <w:lang w:val="cy-GB"/>
        </w:rPr>
        <w:br w:type="page"/>
      </w:r>
    </w:p>
    <w:p w14:paraId="2834B284" w14:textId="77777777" w:rsidR="00985AF6" w:rsidRPr="00985AF6" w:rsidRDefault="00985AF6" w:rsidP="00985AF6">
      <w:pPr>
        <w:spacing w:after="160" w:line="259" w:lineRule="auto"/>
        <w:rPr>
          <w:rFonts w:ascii="Arial" w:eastAsia="Calibri" w:hAnsi="Arial" w:cs="Arial"/>
          <w:b/>
          <w:sz w:val="28"/>
          <w:szCs w:val="24"/>
        </w:rPr>
      </w:pPr>
      <w:r w:rsidRPr="00985AF6">
        <w:rPr>
          <w:rFonts w:ascii="Arial" w:eastAsia="Calibri" w:hAnsi="Arial" w:cs="Arial"/>
          <w:b/>
          <w:bCs/>
          <w:sz w:val="28"/>
          <w:szCs w:val="24"/>
          <w:lang w:val="cy-GB"/>
        </w:rPr>
        <w:t>Trafodiadau Eiddo Preswyl</w:t>
      </w:r>
    </w:p>
    <w:p w14:paraId="08B13D2F" w14:textId="77777777" w:rsidR="00985AF6" w:rsidRPr="00985AF6" w:rsidRDefault="00985AF6" w:rsidP="00985AF6">
      <w:pPr>
        <w:spacing w:after="160" w:line="259" w:lineRule="auto"/>
        <w:rPr>
          <w:rFonts w:ascii="Arial" w:eastAsia="Calibri" w:hAnsi="Arial" w:cs="Arial"/>
          <w:b/>
          <w:sz w:val="24"/>
          <w:szCs w:val="24"/>
        </w:rPr>
      </w:pPr>
      <w:r w:rsidRPr="00985AF6">
        <w:rPr>
          <w:rFonts w:ascii="Arial" w:eastAsia="Calibri" w:hAnsi="Arial" w:cs="Arial"/>
          <w:b/>
          <w:bCs/>
          <w:sz w:val="24"/>
          <w:szCs w:val="24"/>
          <w:lang w:val="cy-GB"/>
        </w:rPr>
        <w:t>Cyfraddau a Throthwyon rhwng 27 Gorffennaf 2020 ac 31 Mawrth 2021</w:t>
      </w:r>
    </w:p>
    <w:p w14:paraId="1284F5A4" w14:textId="77777777" w:rsidR="00985AF6" w:rsidRPr="00985AF6" w:rsidRDefault="00985AF6" w:rsidP="0098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  <w:r w:rsidRPr="00985AF6">
        <w:rPr>
          <w:rFonts w:ascii="Arial" w:eastAsia="Calibri" w:hAnsi="Arial" w:cs="Arial"/>
          <w:sz w:val="24"/>
          <w:szCs w:val="24"/>
          <w:lang w:val="cy-GB"/>
        </w:rPr>
        <w:t xml:space="preserve"> </w:t>
      </w:r>
    </w:p>
    <w:tbl>
      <w:tblPr>
        <w:tblW w:w="93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926"/>
        <w:gridCol w:w="1176"/>
        <w:gridCol w:w="1551"/>
        <w:gridCol w:w="1809"/>
        <w:gridCol w:w="1293"/>
      </w:tblGrid>
      <w:tr w:rsidR="00FD6F46" w14:paraId="6B2D98ED" w14:textId="77777777" w:rsidTr="001A72E8">
        <w:trPr>
          <w:trHeight w:val="216"/>
        </w:trPr>
        <w:tc>
          <w:tcPr>
            <w:tcW w:w="1551" w:type="dxa"/>
          </w:tcPr>
          <w:p w14:paraId="11D04596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b/>
                <w:bCs/>
                <w:color w:val="000000"/>
                <w:szCs w:val="22"/>
                <w:lang w:val="cy-GB"/>
              </w:rPr>
              <w:t xml:space="preserve">Prif gyfraddau trafodiadau eiddo preswyl </w:t>
            </w:r>
          </w:p>
          <w:p w14:paraId="7E0A3706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2"/>
              </w:rPr>
            </w:pPr>
          </w:p>
          <w:p w14:paraId="68EDCF79" w14:textId="77777777" w:rsidR="001A72E8" w:rsidRDefault="001A72E8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  <w:u w:val="single"/>
                <w:lang w:val="cy-GB"/>
              </w:rPr>
            </w:pPr>
          </w:p>
          <w:p w14:paraId="063D3D30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  <w:u w:val="single"/>
              </w:rPr>
            </w:pPr>
            <w:r w:rsidRPr="00985AF6">
              <w:rPr>
                <w:rFonts w:ascii="Arial" w:eastAsia="Calibri" w:hAnsi="Arial" w:cs="Arial"/>
                <w:i/>
                <w:iCs/>
                <w:color w:val="000000"/>
                <w:szCs w:val="22"/>
                <w:u w:val="single"/>
                <w:lang w:val="cy-GB"/>
              </w:rPr>
              <w:t>Band treth</w:t>
            </w:r>
            <w:r w:rsidRPr="00985AF6">
              <w:rPr>
                <w:rFonts w:ascii="Arial" w:eastAsia="Calibri" w:hAnsi="Arial" w:cs="Arial"/>
                <w:iCs/>
                <w:color w:val="000000"/>
                <w:szCs w:val="22"/>
                <w:lang w:val="cy-GB"/>
              </w:rPr>
              <w:t xml:space="preserve"> </w:t>
            </w:r>
          </w:p>
        </w:tc>
        <w:tc>
          <w:tcPr>
            <w:tcW w:w="1926" w:type="dxa"/>
          </w:tcPr>
          <w:p w14:paraId="766100F3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026E520F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5D4EAC97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2E3FFDF7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67FEC6CB" w14:textId="77777777" w:rsidR="001A72E8" w:rsidRDefault="001A72E8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</w:pPr>
          </w:p>
          <w:p w14:paraId="341D4053" w14:textId="77777777" w:rsidR="001A72E8" w:rsidRDefault="001A72E8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</w:pPr>
          </w:p>
          <w:p w14:paraId="61397D2D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  <w:t xml:space="preserve">Cydnabyddiaeth </w:t>
            </w:r>
            <w:r w:rsidRPr="001A72E8">
              <w:rPr>
                <w:rFonts w:ascii="Arial" w:eastAsia="Calibri" w:hAnsi="Arial" w:cs="Arial"/>
                <w:i/>
                <w:iCs/>
                <w:color w:val="000000"/>
                <w:szCs w:val="22"/>
                <w:u w:val="single"/>
                <w:lang w:val="cy-GB"/>
              </w:rPr>
              <w:t>b</w:t>
            </w:r>
            <w:r w:rsidRPr="00985AF6">
              <w:rPr>
                <w:rFonts w:ascii="Arial" w:eastAsia="Calibri" w:hAnsi="Arial" w:cs="Arial"/>
                <w:i/>
                <w:iCs/>
                <w:color w:val="000000"/>
                <w:szCs w:val="22"/>
                <w:u w:val="single"/>
                <w:lang w:val="cy-GB"/>
              </w:rPr>
              <w:t>erthnasol</w:t>
            </w: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 </w:t>
            </w:r>
          </w:p>
        </w:tc>
        <w:tc>
          <w:tcPr>
            <w:tcW w:w="1176" w:type="dxa"/>
          </w:tcPr>
          <w:p w14:paraId="75841D0F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685BAFFF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207BCB0A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48290CB5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69D95FEE" w14:textId="77777777" w:rsidR="001A72E8" w:rsidRDefault="001A72E8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</w:pPr>
          </w:p>
          <w:p w14:paraId="5342280B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  <w:t xml:space="preserve">Canran y </w:t>
            </w:r>
            <w:r w:rsidRPr="001A72E8"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  <w:t>gyfradd</w:t>
            </w:r>
            <w:r w:rsidRPr="00985AF6">
              <w:rPr>
                <w:rFonts w:ascii="Arial" w:eastAsia="Calibri" w:hAnsi="Arial" w:cs="Arial"/>
                <w:i/>
                <w:iCs/>
                <w:color w:val="000000"/>
                <w:szCs w:val="22"/>
                <w:u w:val="single"/>
                <w:lang w:val="cy-GB"/>
              </w:rPr>
              <w:t xml:space="preserve"> dreth</w:t>
            </w: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 </w:t>
            </w:r>
          </w:p>
        </w:tc>
        <w:tc>
          <w:tcPr>
            <w:tcW w:w="1551" w:type="dxa"/>
          </w:tcPr>
          <w:p w14:paraId="2C070E21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b/>
                <w:bCs/>
                <w:color w:val="000000"/>
                <w:szCs w:val="22"/>
                <w:lang w:val="cy-GB"/>
              </w:rPr>
              <w:t xml:space="preserve">Cyfraddau uwch trafodiadau eiddo preswyl </w:t>
            </w:r>
          </w:p>
          <w:p w14:paraId="25B5E38D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Cs w:val="22"/>
              </w:rPr>
            </w:pPr>
          </w:p>
          <w:p w14:paraId="4DE770B6" w14:textId="77777777" w:rsidR="001A72E8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Cs/>
                <w:color w:val="000000"/>
                <w:szCs w:val="22"/>
                <w:lang w:val="cy-GB"/>
              </w:rPr>
            </w:pPr>
            <w:r w:rsidRPr="00985AF6">
              <w:rPr>
                <w:rFonts w:ascii="Arial" w:eastAsia="Calibri" w:hAnsi="Arial" w:cs="Arial"/>
                <w:iCs/>
                <w:color w:val="000000"/>
                <w:szCs w:val="22"/>
                <w:lang w:val="cy-GB"/>
              </w:rPr>
              <w:t xml:space="preserve"> </w:t>
            </w:r>
          </w:p>
          <w:p w14:paraId="42DBE3D0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  <w:u w:val="single"/>
              </w:rPr>
            </w:pPr>
            <w:r w:rsidRPr="00985AF6">
              <w:rPr>
                <w:rFonts w:ascii="Arial" w:eastAsia="Calibri" w:hAnsi="Arial" w:cs="Arial"/>
                <w:i/>
                <w:iCs/>
                <w:color w:val="000000"/>
                <w:szCs w:val="22"/>
                <w:u w:val="single"/>
                <w:lang w:val="cy-GB"/>
              </w:rPr>
              <w:t>Band treth</w:t>
            </w:r>
            <w:r w:rsidRPr="00985AF6">
              <w:rPr>
                <w:rFonts w:ascii="Arial" w:eastAsia="Calibri" w:hAnsi="Arial" w:cs="Arial"/>
                <w:iCs/>
                <w:color w:val="000000"/>
                <w:szCs w:val="22"/>
                <w:lang w:val="cy-GB"/>
              </w:rPr>
              <w:t xml:space="preserve"> </w:t>
            </w:r>
          </w:p>
        </w:tc>
        <w:tc>
          <w:tcPr>
            <w:tcW w:w="1809" w:type="dxa"/>
          </w:tcPr>
          <w:p w14:paraId="08BF7968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34A15244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2BDDB91F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74139980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2EF4A907" w14:textId="77777777" w:rsidR="001A72E8" w:rsidRDefault="001A72E8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</w:pPr>
          </w:p>
          <w:p w14:paraId="7B05502D" w14:textId="77777777" w:rsidR="001A72E8" w:rsidRDefault="001A72E8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</w:pPr>
          </w:p>
          <w:p w14:paraId="15E1B800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  <w:t xml:space="preserve">Cydnabyddiaeth </w:t>
            </w:r>
            <w:r w:rsidRPr="001A72E8">
              <w:rPr>
                <w:rFonts w:ascii="Arial" w:eastAsia="Calibri" w:hAnsi="Arial" w:cs="Arial"/>
                <w:i/>
                <w:iCs/>
                <w:color w:val="000000"/>
                <w:szCs w:val="22"/>
                <w:u w:val="single"/>
                <w:lang w:val="cy-GB"/>
              </w:rPr>
              <w:t>b</w:t>
            </w:r>
            <w:r w:rsidRPr="00985AF6">
              <w:rPr>
                <w:rFonts w:ascii="Arial" w:eastAsia="Calibri" w:hAnsi="Arial" w:cs="Arial"/>
                <w:i/>
                <w:iCs/>
                <w:color w:val="000000"/>
                <w:szCs w:val="22"/>
                <w:u w:val="single"/>
                <w:lang w:val="cy-GB"/>
              </w:rPr>
              <w:t>erthnasol</w:t>
            </w: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 </w:t>
            </w:r>
          </w:p>
        </w:tc>
        <w:tc>
          <w:tcPr>
            <w:tcW w:w="1293" w:type="dxa"/>
          </w:tcPr>
          <w:p w14:paraId="0F5C8FFA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6D0C113B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02FDF31B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63641139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</w:rPr>
            </w:pPr>
          </w:p>
          <w:p w14:paraId="10F59D51" w14:textId="77777777" w:rsidR="001A72E8" w:rsidRDefault="001A72E8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</w:pPr>
          </w:p>
          <w:p w14:paraId="39A0DC3B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  <w:t xml:space="preserve">Canran y </w:t>
            </w:r>
            <w:r w:rsidRPr="001A72E8">
              <w:rPr>
                <w:rFonts w:ascii="Arial" w:eastAsia="Calibri" w:hAnsi="Arial" w:cs="Arial"/>
                <w:i/>
                <w:iCs/>
                <w:color w:val="000000"/>
                <w:szCs w:val="22"/>
                <w:lang w:val="cy-GB"/>
              </w:rPr>
              <w:t>gyfradd</w:t>
            </w:r>
            <w:r w:rsidRPr="00985AF6">
              <w:rPr>
                <w:rFonts w:ascii="Arial" w:eastAsia="Calibri" w:hAnsi="Arial" w:cs="Arial"/>
                <w:i/>
                <w:iCs/>
                <w:color w:val="000000"/>
                <w:szCs w:val="22"/>
                <w:u w:val="single"/>
                <w:lang w:val="cy-GB"/>
              </w:rPr>
              <w:t xml:space="preserve"> dreth</w:t>
            </w: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 </w:t>
            </w:r>
          </w:p>
        </w:tc>
      </w:tr>
      <w:tr w:rsidR="00FD6F46" w14:paraId="74B7AD2C" w14:textId="77777777" w:rsidTr="001A72E8">
        <w:trPr>
          <w:trHeight w:val="215"/>
        </w:trPr>
        <w:tc>
          <w:tcPr>
            <w:tcW w:w="1551" w:type="dxa"/>
          </w:tcPr>
          <w:p w14:paraId="4F509F9A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Band cyfradd sero </w:t>
            </w:r>
          </w:p>
        </w:tc>
        <w:tc>
          <w:tcPr>
            <w:tcW w:w="1926" w:type="dxa"/>
          </w:tcPr>
          <w:p w14:paraId="6307B92D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Dim mwy na £250,000 </w:t>
            </w:r>
          </w:p>
        </w:tc>
        <w:tc>
          <w:tcPr>
            <w:tcW w:w="1176" w:type="dxa"/>
          </w:tcPr>
          <w:p w14:paraId="3A57D235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    0% </w:t>
            </w:r>
          </w:p>
        </w:tc>
        <w:tc>
          <w:tcPr>
            <w:tcW w:w="1551" w:type="dxa"/>
          </w:tcPr>
          <w:p w14:paraId="56281372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Band treth cyntaf </w:t>
            </w:r>
          </w:p>
        </w:tc>
        <w:tc>
          <w:tcPr>
            <w:tcW w:w="1809" w:type="dxa"/>
          </w:tcPr>
          <w:p w14:paraId="5A7ECE3C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Dim mwy na £180,000 </w:t>
            </w:r>
          </w:p>
          <w:p w14:paraId="4DBABB1F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293" w:type="dxa"/>
          </w:tcPr>
          <w:p w14:paraId="0FA9809C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     3% </w:t>
            </w:r>
          </w:p>
        </w:tc>
      </w:tr>
      <w:tr w:rsidR="00FD6F46" w14:paraId="1EE8D0CD" w14:textId="77777777" w:rsidTr="001A72E8">
        <w:trPr>
          <w:trHeight w:val="458"/>
        </w:trPr>
        <w:tc>
          <w:tcPr>
            <w:tcW w:w="1551" w:type="dxa"/>
          </w:tcPr>
          <w:p w14:paraId="457B5C48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Band treth cyntaf </w:t>
            </w:r>
          </w:p>
        </w:tc>
        <w:tc>
          <w:tcPr>
            <w:tcW w:w="1926" w:type="dxa"/>
          </w:tcPr>
          <w:p w14:paraId="28901431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Mwy na £250,000 ond dim mwy na £400,000 </w:t>
            </w:r>
          </w:p>
          <w:p w14:paraId="3A637411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</w:p>
        </w:tc>
        <w:tc>
          <w:tcPr>
            <w:tcW w:w="1176" w:type="dxa"/>
          </w:tcPr>
          <w:p w14:paraId="146888F8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    5% </w:t>
            </w:r>
          </w:p>
        </w:tc>
        <w:tc>
          <w:tcPr>
            <w:tcW w:w="1551" w:type="dxa"/>
          </w:tcPr>
          <w:p w14:paraId="095B4EF0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Ail fand treth </w:t>
            </w:r>
          </w:p>
        </w:tc>
        <w:tc>
          <w:tcPr>
            <w:tcW w:w="1809" w:type="dxa"/>
          </w:tcPr>
          <w:p w14:paraId="0EF0138C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>Mwy na £180,000 ond dim mwy na £250,000</w:t>
            </w:r>
          </w:p>
        </w:tc>
        <w:tc>
          <w:tcPr>
            <w:tcW w:w="1293" w:type="dxa"/>
          </w:tcPr>
          <w:p w14:paraId="2B2AAAD7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     6.5% </w:t>
            </w:r>
          </w:p>
        </w:tc>
      </w:tr>
      <w:tr w:rsidR="00FD6F46" w14:paraId="4F308C1C" w14:textId="77777777" w:rsidTr="001A72E8">
        <w:trPr>
          <w:trHeight w:val="458"/>
        </w:trPr>
        <w:tc>
          <w:tcPr>
            <w:tcW w:w="1551" w:type="dxa"/>
          </w:tcPr>
          <w:p w14:paraId="649F0204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Ail fand treth </w:t>
            </w:r>
          </w:p>
        </w:tc>
        <w:tc>
          <w:tcPr>
            <w:tcW w:w="1926" w:type="dxa"/>
          </w:tcPr>
          <w:p w14:paraId="431D4079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Mwy na £400,000 ond dim mwy na £750,000 </w:t>
            </w:r>
          </w:p>
        </w:tc>
        <w:tc>
          <w:tcPr>
            <w:tcW w:w="1176" w:type="dxa"/>
          </w:tcPr>
          <w:p w14:paraId="543F46CF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    7.5% </w:t>
            </w:r>
          </w:p>
        </w:tc>
        <w:tc>
          <w:tcPr>
            <w:tcW w:w="1551" w:type="dxa"/>
          </w:tcPr>
          <w:p w14:paraId="1A8C5FC6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Trydydd band treth </w:t>
            </w:r>
          </w:p>
        </w:tc>
        <w:tc>
          <w:tcPr>
            <w:tcW w:w="1809" w:type="dxa"/>
          </w:tcPr>
          <w:p w14:paraId="1642E9FA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>Mwy na £250,000 ond dim mwy na £400,000</w:t>
            </w:r>
          </w:p>
          <w:p w14:paraId="2016D465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 </w:t>
            </w:r>
          </w:p>
        </w:tc>
        <w:tc>
          <w:tcPr>
            <w:tcW w:w="1293" w:type="dxa"/>
          </w:tcPr>
          <w:p w14:paraId="26DEDF7D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     8% </w:t>
            </w:r>
          </w:p>
        </w:tc>
      </w:tr>
      <w:tr w:rsidR="00FD6F46" w14:paraId="0CC8C82B" w14:textId="77777777" w:rsidTr="001A72E8">
        <w:trPr>
          <w:trHeight w:val="458"/>
        </w:trPr>
        <w:tc>
          <w:tcPr>
            <w:tcW w:w="1551" w:type="dxa"/>
          </w:tcPr>
          <w:p w14:paraId="147BF5E0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Trydydd band treth </w:t>
            </w:r>
          </w:p>
        </w:tc>
        <w:tc>
          <w:tcPr>
            <w:tcW w:w="1926" w:type="dxa"/>
          </w:tcPr>
          <w:p w14:paraId="729454D5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Mwy na £750,000 ond dim mwy nag £1,500,000 </w:t>
            </w:r>
          </w:p>
        </w:tc>
        <w:tc>
          <w:tcPr>
            <w:tcW w:w="1176" w:type="dxa"/>
          </w:tcPr>
          <w:p w14:paraId="3F877401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    10% </w:t>
            </w:r>
          </w:p>
        </w:tc>
        <w:tc>
          <w:tcPr>
            <w:tcW w:w="1551" w:type="dxa"/>
          </w:tcPr>
          <w:p w14:paraId="4A7A1152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Pedwerydd band treth  </w:t>
            </w:r>
          </w:p>
        </w:tc>
        <w:tc>
          <w:tcPr>
            <w:tcW w:w="1809" w:type="dxa"/>
          </w:tcPr>
          <w:p w14:paraId="47F75127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Mwy na £400,000 ond dim mwy na £750,000 </w:t>
            </w:r>
          </w:p>
          <w:p w14:paraId="75F12140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293" w:type="dxa"/>
          </w:tcPr>
          <w:p w14:paraId="3E959D85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    10.5% </w:t>
            </w:r>
          </w:p>
        </w:tc>
      </w:tr>
      <w:tr w:rsidR="00FD6F46" w14:paraId="0C2C56D8" w14:textId="77777777" w:rsidTr="001A72E8">
        <w:trPr>
          <w:trHeight w:val="215"/>
        </w:trPr>
        <w:tc>
          <w:tcPr>
            <w:tcW w:w="1551" w:type="dxa"/>
          </w:tcPr>
          <w:p w14:paraId="0DB3CCBA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Pedwerydd band treth </w:t>
            </w:r>
          </w:p>
        </w:tc>
        <w:tc>
          <w:tcPr>
            <w:tcW w:w="1926" w:type="dxa"/>
          </w:tcPr>
          <w:p w14:paraId="45C1AA67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Mwy nag £1,500,000 </w:t>
            </w:r>
          </w:p>
        </w:tc>
        <w:tc>
          <w:tcPr>
            <w:tcW w:w="1176" w:type="dxa"/>
          </w:tcPr>
          <w:p w14:paraId="31B2F90D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1"/>
              </w:rPr>
            </w:pPr>
            <w:r w:rsidRPr="00985AF6">
              <w:rPr>
                <w:rFonts w:ascii="Arial" w:eastAsia="Calibri" w:hAnsi="Arial" w:cs="Arial"/>
                <w:color w:val="000000"/>
                <w:szCs w:val="21"/>
                <w:lang w:val="cy-GB"/>
              </w:rPr>
              <w:t xml:space="preserve">    12% </w:t>
            </w:r>
          </w:p>
        </w:tc>
        <w:tc>
          <w:tcPr>
            <w:tcW w:w="1551" w:type="dxa"/>
          </w:tcPr>
          <w:p w14:paraId="3A093413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Pumed band treth </w:t>
            </w:r>
          </w:p>
        </w:tc>
        <w:tc>
          <w:tcPr>
            <w:tcW w:w="1809" w:type="dxa"/>
          </w:tcPr>
          <w:p w14:paraId="0E1F9A44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Mwy na £750,000 ond dim mwy nag £1,500,000 </w:t>
            </w:r>
          </w:p>
          <w:p w14:paraId="6D6DE29D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293" w:type="dxa"/>
          </w:tcPr>
          <w:p w14:paraId="2B9B9EEB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    13% </w:t>
            </w:r>
          </w:p>
        </w:tc>
      </w:tr>
      <w:tr w:rsidR="00FD6F46" w14:paraId="28EBD00E" w14:textId="77777777" w:rsidTr="001A72E8">
        <w:trPr>
          <w:trHeight w:val="215"/>
        </w:trPr>
        <w:tc>
          <w:tcPr>
            <w:tcW w:w="1551" w:type="dxa"/>
          </w:tcPr>
          <w:p w14:paraId="1C0C5C29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</w:tcPr>
          <w:p w14:paraId="21385382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</w:tcPr>
          <w:p w14:paraId="08E86810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</w:tcPr>
          <w:p w14:paraId="56ECEC60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Chweched band treth </w:t>
            </w:r>
          </w:p>
        </w:tc>
        <w:tc>
          <w:tcPr>
            <w:tcW w:w="1809" w:type="dxa"/>
          </w:tcPr>
          <w:p w14:paraId="5A35126A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Mwy nag £1,500,000 </w:t>
            </w:r>
          </w:p>
        </w:tc>
        <w:tc>
          <w:tcPr>
            <w:tcW w:w="1293" w:type="dxa"/>
          </w:tcPr>
          <w:p w14:paraId="411049CB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  <w:r w:rsidRPr="00985AF6">
              <w:rPr>
                <w:rFonts w:ascii="Arial" w:eastAsia="Calibri" w:hAnsi="Arial" w:cs="Arial"/>
                <w:color w:val="000000"/>
                <w:szCs w:val="22"/>
                <w:lang w:val="cy-GB"/>
              </w:rPr>
              <w:t xml:space="preserve">    15% </w:t>
            </w:r>
          </w:p>
        </w:tc>
      </w:tr>
      <w:tr w:rsidR="00FD6F46" w14:paraId="3E88F3B5" w14:textId="77777777" w:rsidTr="001A72E8">
        <w:trPr>
          <w:trHeight w:val="215"/>
        </w:trPr>
        <w:tc>
          <w:tcPr>
            <w:tcW w:w="1551" w:type="dxa"/>
          </w:tcPr>
          <w:p w14:paraId="799984B8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926" w:type="dxa"/>
          </w:tcPr>
          <w:p w14:paraId="11858CAB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76" w:type="dxa"/>
          </w:tcPr>
          <w:p w14:paraId="4B723F7B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51" w:type="dxa"/>
          </w:tcPr>
          <w:p w14:paraId="78FA36D5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809" w:type="dxa"/>
          </w:tcPr>
          <w:p w14:paraId="321691D3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  <w:tc>
          <w:tcPr>
            <w:tcW w:w="1293" w:type="dxa"/>
          </w:tcPr>
          <w:p w14:paraId="26E51CA7" w14:textId="77777777" w:rsidR="00985AF6" w:rsidRPr="00985AF6" w:rsidRDefault="00985AF6" w:rsidP="00985AF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</w:tbl>
    <w:p w14:paraId="26FA33B5" w14:textId="77777777" w:rsidR="00985AF6" w:rsidRPr="00985AF6" w:rsidRDefault="00985AF6" w:rsidP="00985AF6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79E6F22" w14:textId="77777777" w:rsidR="00A845A9" w:rsidRDefault="00A845A9" w:rsidP="00985AF6"/>
    <w:sectPr w:rsidR="00A845A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0B8A5" w14:textId="77777777" w:rsidR="004E65EC" w:rsidRDefault="004E65EC">
      <w:r>
        <w:separator/>
      </w:r>
    </w:p>
  </w:endnote>
  <w:endnote w:type="continuationSeparator" w:id="0">
    <w:p w14:paraId="24C65750" w14:textId="77777777" w:rsidR="004E65EC" w:rsidRDefault="004E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2AC3D" w14:textId="77777777" w:rsidR="00985AF6" w:rsidRDefault="00985A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0DE6797A" w14:textId="77777777" w:rsidR="00985AF6" w:rsidRDefault="0098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F71A3" w14:textId="77777777" w:rsidR="00985AF6" w:rsidRDefault="00985AF6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6788">
      <w:rPr>
        <w:rStyle w:val="PageNumber"/>
        <w:noProof/>
      </w:rPr>
      <w:t>4</w:t>
    </w:r>
    <w:r>
      <w:rPr>
        <w:rStyle w:val="PageNumber"/>
      </w:rPr>
      <w:fldChar w:fldCharType="end"/>
    </w:r>
  </w:p>
  <w:p w14:paraId="21E76C2F" w14:textId="77777777" w:rsidR="00985AF6" w:rsidRDefault="00985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22320" w14:textId="2F1AB5C5" w:rsidR="00985AF6" w:rsidRPr="005D2A41" w:rsidRDefault="00985AF6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A678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A2A8633" w14:textId="77777777" w:rsidR="00985AF6" w:rsidRPr="00A845A9" w:rsidRDefault="00985AF6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E3319" w14:textId="77777777" w:rsidR="004E65EC" w:rsidRDefault="004E65EC">
      <w:r>
        <w:separator/>
      </w:r>
    </w:p>
  </w:footnote>
  <w:footnote w:type="continuationSeparator" w:id="0">
    <w:p w14:paraId="4584BD33" w14:textId="77777777" w:rsidR="004E65EC" w:rsidRDefault="004E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12A8" w14:textId="1E6F3EF6" w:rsidR="00985AF6" w:rsidRDefault="00FA678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85D82DE" wp14:editId="124FE77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E3B12A" w14:textId="77777777" w:rsidR="00985AF6" w:rsidRDefault="00985AF6">
    <w:pPr>
      <w:pStyle w:val="Header"/>
    </w:pPr>
  </w:p>
  <w:p w14:paraId="10107519" w14:textId="77777777" w:rsidR="00985AF6" w:rsidRDefault="00985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714C6E"/>
    <w:multiLevelType w:val="hybridMultilevel"/>
    <w:tmpl w:val="A2D8CB26"/>
    <w:lvl w:ilvl="0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D6A09"/>
    <w:rsid w:val="00134918"/>
    <w:rsid w:val="001460B1"/>
    <w:rsid w:val="0017102C"/>
    <w:rsid w:val="001A39E2"/>
    <w:rsid w:val="001A6AF1"/>
    <w:rsid w:val="001A72E8"/>
    <w:rsid w:val="001B027C"/>
    <w:rsid w:val="001B288D"/>
    <w:rsid w:val="001B7FBF"/>
    <w:rsid w:val="001C3FF1"/>
    <w:rsid w:val="001C532F"/>
    <w:rsid w:val="001E53BF"/>
    <w:rsid w:val="00201059"/>
    <w:rsid w:val="00214B25"/>
    <w:rsid w:val="00223E62"/>
    <w:rsid w:val="00274F08"/>
    <w:rsid w:val="00291C5D"/>
    <w:rsid w:val="002A5310"/>
    <w:rsid w:val="002C57B6"/>
    <w:rsid w:val="002F0EB9"/>
    <w:rsid w:val="002F53A9"/>
    <w:rsid w:val="00314E36"/>
    <w:rsid w:val="003211C8"/>
    <w:rsid w:val="003220C1"/>
    <w:rsid w:val="00356D7B"/>
    <w:rsid w:val="00357893"/>
    <w:rsid w:val="003670C1"/>
    <w:rsid w:val="00370471"/>
    <w:rsid w:val="003775B6"/>
    <w:rsid w:val="003B1503"/>
    <w:rsid w:val="003B3D64"/>
    <w:rsid w:val="003C5133"/>
    <w:rsid w:val="003E2F8E"/>
    <w:rsid w:val="00401970"/>
    <w:rsid w:val="00412673"/>
    <w:rsid w:val="00427115"/>
    <w:rsid w:val="0043031D"/>
    <w:rsid w:val="004424F4"/>
    <w:rsid w:val="0046757C"/>
    <w:rsid w:val="004E65EC"/>
    <w:rsid w:val="0054627D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6484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46BF0"/>
    <w:rsid w:val="00953A46"/>
    <w:rsid w:val="00967473"/>
    <w:rsid w:val="00973090"/>
    <w:rsid w:val="00985AF6"/>
    <w:rsid w:val="00995EEC"/>
    <w:rsid w:val="009D26D8"/>
    <w:rsid w:val="009E4974"/>
    <w:rsid w:val="009F06C3"/>
    <w:rsid w:val="00A011A1"/>
    <w:rsid w:val="00A204C9"/>
    <w:rsid w:val="00A23742"/>
    <w:rsid w:val="00A3247B"/>
    <w:rsid w:val="00A60EA8"/>
    <w:rsid w:val="00A72CF3"/>
    <w:rsid w:val="00A76E69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06E75"/>
    <w:rsid w:val="00B239BA"/>
    <w:rsid w:val="00B468BB"/>
    <w:rsid w:val="00B81F17"/>
    <w:rsid w:val="00BA2FD9"/>
    <w:rsid w:val="00BB62A8"/>
    <w:rsid w:val="00C23411"/>
    <w:rsid w:val="00C43B4A"/>
    <w:rsid w:val="00C64FA5"/>
    <w:rsid w:val="00C84A12"/>
    <w:rsid w:val="00CA4AB6"/>
    <w:rsid w:val="00CE48F3"/>
    <w:rsid w:val="00CF3DC5"/>
    <w:rsid w:val="00D017E2"/>
    <w:rsid w:val="00D146A3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360F"/>
    <w:rsid w:val="00F2438B"/>
    <w:rsid w:val="00F542F0"/>
    <w:rsid w:val="00F81C33"/>
    <w:rsid w:val="00F923C2"/>
    <w:rsid w:val="00F97613"/>
    <w:rsid w:val="00FA6788"/>
    <w:rsid w:val="00FD6F4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8DC860F"/>
  <w15:chartTrackingRefBased/>
  <w15:docId w15:val="{236960CF-C976-498E-90D3-5307E139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Default">
    <w:name w:val="Default"/>
    <w:rsid w:val="00985A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A30692453</value>
    </field>
    <field name="Objective-Title">
      <value order="0">20-07-14 Written Statement - LTT rates and threshold changes</value>
    </field>
    <field name="Objective-Description">
      <value order="0"/>
    </field>
    <field name="Objective-CreationStamp">
      <value order="0">2020-07-13T16:52:46Z</value>
    </field>
    <field name="Objective-IsApproved">
      <value order="0">false</value>
    </field>
    <field name="Objective-IsPublished">
      <value order="0">true</value>
    </field>
    <field name="Objective-DatePublished">
      <value order="0">2020-07-14T08:46:47Z</value>
    </field>
    <field name="Objective-ModificationStamp">
      <value order="0">2020-07-14T08:46:47Z</value>
    </field>
    <field name="Objective-Owner">
      <value order="0">Hewitt, Andrew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Ministerial Advice: Legislation - Tax Policy &amp; Legislation - 2018:2020 MA RE-2286/20 LTT Threshold and rates changes reductions until 31/3/2021</value>
    </field>
    <field name="Objective-Parent">
      <value order="0">2020 MA RE-2286/20 LTT Threshold and rates changes reductions until 31/3/2021</value>
    </field>
    <field name="Objective-State">
      <value order="0">Published</value>
    </field>
    <field name="Objective-VersionId">
      <value order="0">vA61168695</value>
    </field>
    <field name="Objective-Version">
      <value order="0">8.0</value>
    </field>
    <field name="Objective-VersionNumber">
      <value order="0">9</value>
    </field>
    <field name="Objective-VersionComment">
      <value order="0">Template added</value>
    </field>
    <field name="Objective-FileNumber">
      <value order="0">qA1373080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2020-07-13T23:00:00+00:00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22644D6-85CD-44B8-8679-7AFB5DC5D5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23532-1188-406C-8E5A-67351999A8B1}">
  <ds:schemaRefs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E812B4-80D0-47B0-8FE6-BC4CF72D0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4240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Newidiadau Dros Dro i Gyfraddau a Throthwyon y Dreth Trafodiadau Tir</dc:title>
  <dc:subject/>
  <dc:creator>burnsc</dc:creator>
  <cp:keywords/>
  <cp:lastModifiedBy>Carey, Helen (OFM - Cabinet Division)</cp:lastModifiedBy>
  <cp:revision>2</cp:revision>
  <cp:lastPrinted>2011-05-27T10:19:00Z</cp:lastPrinted>
  <dcterms:created xsi:type="dcterms:W3CDTF">2020-07-14T11:40:00Z</dcterms:created>
  <dcterms:modified xsi:type="dcterms:W3CDTF">2020-07-14T11:40:00Z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2020-07-14T10:57:51Z</vt:filetime>
  </property>
  <property fmtid="{D5CDD505-2E9C-101B-9397-08002B2CF9AE}" pid="9" name="Objective-Date Acquired">
    <vt:filetime>2020-07-13T23:00:00Z</vt:filetime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2020-07-14T11:36:08Z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A30700129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2020-07-14T11:36:08Z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Meredith, Sarah (HSS - DHP Public Health)</vt:lpwstr>
  </property>
  <property fmtid="{D5CDD505-2E9C-101B-9397-08002B2CF9AE}" pid="23" name="Objective-Parent">
    <vt:lpwstr>2020 MA RE-2286/20 LTT Threshold and rates changes reductions until 31/3/2021</vt:lpwstr>
  </property>
  <property fmtid="{D5CDD505-2E9C-101B-9397-08002B2CF9AE}" pid="24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Ministerial Advice: Legislation - Tax Policy &amp; Legislation - 2018:2020 MA RE-2286/20 LTT Threshold and rates changes reductions until 31/3/2021:</vt:lpwstr>
  </property>
  <property fmtid="{D5CDD505-2E9C-101B-9397-08002B2CF9AE}" pid="25" name="Objective-State">
    <vt:lpwstr>Published</vt:lpwstr>
  </property>
  <property fmtid="{D5CDD505-2E9C-101B-9397-08002B2CF9AE}" pid="26" name="Objective-Title">
    <vt:lpwstr>2020 MA RE-2286/20 LTT Threshold and rates changes - Doc 1 Written Statement Cymraeg</vt:lpwstr>
  </property>
  <property fmtid="{D5CDD505-2E9C-101B-9397-08002B2CF9AE}" pid="27" name="Objective-Version">
    <vt:lpwstr>3.0</vt:lpwstr>
  </property>
  <property fmtid="{D5CDD505-2E9C-101B-9397-08002B2CF9AE}" pid="28" name="Objective-VersionComment">
    <vt:lpwstr/>
  </property>
  <property fmtid="{D5CDD505-2E9C-101B-9397-08002B2CF9AE}" pid="29" name="Objective-VersionId">
    <vt:lpwstr>vA61168695</vt:lpwstr>
  </property>
  <property fmtid="{D5CDD505-2E9C-101B-9397-08002B2CF9AE}" pid="30" name="Objective-VersionNumber">
    <vt:r8>4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